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ascii="Times New Roman" w:hAnsi="Times New Roman" w:eastAsia="方正黑体_GBK"/>
          <w:sz w:val="32"/>
          <w:szCs w:val="32"/>
        </w:rPr>
      </w:pPr>
      <w:r>
        <w:rPr>
          <w:rFonts w:hint="eastAsia" w:ascii="Times New Roman" w:hAnsi="Times New Roman" w:eastAsia="方正黑体_GBK"/>
          <w:sz w:val="32"/>
          <w:szCs w:val="32"/>
        </w:rPr>
        <w:t>附件</w:t>
      </w:r>
      <w:r>
        <w:rPr>
          <w:rFonts w:ascii="Times New Roman" w:hAnsi="Times New Roman" w:eastAsia="方正黑体_GBK"/>
          <w:sz w:val="32"/>
          <w:szCs w:val="32"/>
        </w:rPr>
        <w:t>1</w:t>
      </w:r>
    </w:p>
    <w:p>
      <w:pPr>
        <w:spacing w:line="570" w:lineRule="exact"/>
        <w:jc w:val="left"/>
        <w:rPr>
          <w:rFonts w:ascii="Times New Roman" w:hAnsi="Times New Roman" w:eastAsia="方正黑体_GBK"/>
          <w:sz w:val="32"/>
          <w:szCs w:val="32"/>
        </w:rPr>
      </w:pPr>
    </w:p>
    <w:p>
      <w:pPr>
        <w:spacing w:line="570" w:lineRule="exact"/>
        <w:jc w:val="center"/>
        <w:rPr>
          <w:rFonts w:ascii="Times New Roman" w:hAnsi="Times New Roman" w:eastAsia="方正小标宋_GBK"/>
          <w:sz w:val="44"/>
          <w:szCs w:val="44"/>
        </w:rPr>
      </w:pPr>
      <w:r>
        <w:rPr>
          <w:rFonts w:ascii="Times New Roman" w:hAnsi="Times New Roman" w:eastAsia="方正小标宋_GBK"/>
          <w:sz w:val="44"/>
          <w:szCs w:val="44"/>
        </w:rPr>
        <w:t>2022</w:t>
      </w:r>
      <w:r>
        <w:rPr>
          <w:rFonts w:hint="eastAsia" w:ascii="Times New Roman" w:hAnsi="Times New Roman" w:eastAsia="方正小标宋_GBK"/>
          <w:sz w:val="44"/>
          <w:szCs w:val="44"/>
        </w:rPr>
        <w:t>年度江苏省优质工程奖扬子杯</w:t>
      </w:r>
    </w:p>
    <w:p>
      <w:pPr>
        <w:spacing w:line="57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申报规模标准</w:t>
      </w:r>
    </w:p>
    <w:p>
      <w:pPr>
        <w:spacing w:line="570" w:lineRule="exact"/>
        <w:ind w:firstLine="640" w:firstLineChars="200"/>
        <w:jc w:val="left"/>
        <w:rPr>
          <w:rFonts w:ascii="Times New Roman" w:hAnsi="Times New Roman" w:eastAsia="方正黑体_GBK"/>
          <w:sz w:val="32"/>
          <w:szCs w:val="32"/>
        </w:rPr>
      </w:pPr>
    </w:p>
    <w:p>
      <w:pPr>
        <w:spacing w:line="57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一、房屋建筑、交通、水利、电力、通信工程</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1、公共建筑工程：除砖混结构以外的建筑面积≥10000㎡或≥10层的单体工程，总建筑面积≥50000㎡的群体建筑。</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2、住宅工程：除砖混结构以外的建筑面积≥10000㎡的单体住宅工程，总建筑面积≥50000㎡的住宅小区或组团。入住率在40%及以上。</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3、工业建筑工程：建筑面积≥10000㎡或单跨≥24米的单体工程，或单位工程造价≥8000万元的建设项目。</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交通工程：单独立项的高速公路（含改扩建）；单独立项的一级公路且≥15km（含改扩建）；长度≥500m的公路隧道；单孔跨径≥100m或多孔跨径总长≥500m的，单孔跨径≥70m或多孔跨径总长≥300m、有技术（结构）创新、且总造价≥4000万元的桥梁；设有首末站的地方铁路工程；长度≥3000m的机场跑道；内河≥3000t、沿江≥10000t、沿海≥20000t的码头；内河四级以上连续长度≥10km、沿海≥20000t的航道；四级航道以上的船闸；单位工程造价内河≥5000万元、沿江（海）≥10000万元的其它水运工程。</w:t>
      </w:r>
    </w:p>
    <w:p>
      <w:pPr>
        <w:spacing w:line="57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sz w:val="32"/>
          <w:szCs w:val="32"/>
        </w:rPr>
        <w:t>5、电力工程：为总承包，单机容量≥100MW或超超临界的发电工程；≥220kv的送变电工程（双回≥30km或单回≥40km的输电线路）；单位工程造价≥1亿元的风力发电、热电联产等发电工程；</w:t>
      </w:r>
      <w:r>
        <w:rPr>
          <w:rFonts w:hint="eastAsia" w:ascii="Times New Roman" w:hAnsi="Times New Roman" w:eastAsia="方正仿宋_GBK"/>
          <w:color w:val="000000"/>
          <w:sz w:val="32"/>
          <w:szCs w:val="32"/>
        </w:rPr>
        <w:t>工程造价</w:t>
      </w:r>
      <w:r>
        <w:rPr>
          <w:rFonts w:hint="eastAsia" w:ascii="Times New Roman" w:hAnsi="Times New Roman" w:eastAsia="方正仿宋_GBK"/>
          <w:sz w:val="32"/>
          <w:szCs w:val="32"/>
        </w:rPr>
        <w:t>≥</w:t>
      </w:r>
      <w:r>
        <w:rPr>
          <w:rFonts w:hint="eastAsia" w:ascii="Times New Roman" w:hAnsi="Times New Roman" w:eastAsia="方正仿宋_GBK"/>
          <w:color w:val="000000"/>
          <w:sz w:val="32"/>
          <w:szCs w:val="32"/>
        </w:rPr>
        <w:t>5000万元的新能源或再生能源发电工程（包含太阳能发电、城市垃圾焚烧、生物质发电等）。</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6、水利工程：单位工程造价≥5000万元的单独立项的水利建设工程。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7、通信工程：各基站为永久性建筑且单位工程造价≥5000万元的单独立项的通讯建设项目。</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参建单位工作量≥单位工程造价的10%或≥2000万元的，均可作为参建单位申报。</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二、市政工程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1、城市道路、广场、地下管线、管廊：单位工程造价≥2000万元，县级市≥1500万元。</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2、高架桥工程：连续长度≥1500m或单位工程造价≥2亿元。</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3、互通立交桥工程：单位工程造价≥1亿元。</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4、桥梁工程：单跨跨度≥40m。</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5、隧道工程：断面≥20㎡。</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6、给水厂及污水处理厂工程：日处理能力≥5万吨。</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7、垃圾填埋处理工程：单位工程造价≥3000万元。</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8、泵站工程：单位工程造价≥2000万元。</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9、城市照明工程（含夜景亮化）：单位工程造价≥800万元。</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10、环境治理（含海绵城市）工程：工程造价≥5000万元。</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11、其它具有创新示范和指导作用的市政精品工程。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参建单位工作量≥单位工程造价的10%或≥2000万元的，均可作为参建单位申报。</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三、园林工程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1、工程面积为3000㎡以上的园林古建工程。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2、工程面积为30000㎡以上，工程造价1200万元以上的园林综合工程。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3、绿化面积10000㎡以上的附属绿化工程。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4、其它具有创新示范指导作用的园林绿化精品工程。</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四、城市轨道交通工程</w:t>
      </w:r>
    </w:p>
    <w:p>
      <w:pPr>
        <w:tabs>
          <w:tab w:val="left" w:pos="1155"/>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1、工程规模在一车站一区间以上的项目。</w:t>
      </w:r>
    </w:p>
    <w:p>
      <w:pPr>
        <w:tabs>
          <w:tab w:val="left" w:pos="1155"/>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2、工程造价≥2亿元的换乘车站或区间。</w:t>
      </w:r>
    </w:p>
    <w:p>
      <w:pPr>
        <w:tabs>
          <w:tab w:val="left" w:pos="1155"/>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3、工程造价≥2亿元的车辆段或停车场。</w:t>
      </w:r>
    </w:p>
    <w:p>
      <w:pPr>
        <w:tabs>
          <w:tab w:val="left" w:pos="1155"/>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4、建筑面积≥1万㎡的控制中心。</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工程装饰装修、机电安装等单位可作为参建单位申报。</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五、装饰专业工程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1、建筑装饰工程：工程造价≥1000万元（不含设备购置和安装费用）的公共建筑整体装修工程。古建筑、保护性文物建筑，建筑面积≥1000㎡，且应当为整体装修工程。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2、建筑幕墙工程：工程造价≥1000万元的玻璃、石材、金属幕墙工程。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建筑装饰智能化系统工程：工程造价≥500万元。包括建筑装饰智能化集成系统；信息接入系统；用户电话交换系统；信息网络系统；综合布线系统及计算机网络系统；移动通信室内信号覆盖系统；卫星通信系统；有线电视及卫星电视接收系统；公共广播系统；会议系统和影剧场灯光音效设施系统；信息导引及发布系统；时钟系统；信息化应用系统；建筑设备监控系统；火灾自动报警系统；安全技术防范系统；应急响应系统；防雷与接地等。</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六、安装专业工程</w:t>
      </w:r>
    </w:p>
    <w:p>
      <w:pPr>
        <w:tabs>
          <w:tab w:val="left" w:pos="1155"/>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1、公共建筑工程：安装工程量≥1000万元的公共建筑工程中的安装工程。</w:t>
      </w:r>
    </w:p>
    <w:p>
      <w:pPr>
        <w:tabs>
          <w:tab w:val="left" w:pos="1155"/>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住宅工程：单体建筑面积≥30000㎡的住宅工程或建筑面积≥50000㎡的住宅小区中工程造价≥1000万元的安装工程。住宅及住宅小区安装工程应包括给排水、配电房、建筑电气或电梯等全部配套安装工程，且功能基本齐全。</w:t>
      </w:r>
    </w:p>
    <w:p>
      <w:pPr>
        <w:tabs>
          <w:tab w:val="left" w:pos="1155"/>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消防设施安装工程：建筑面积≥100000㎡的住宅工程；建筑面积≥38000㎡的公共建筑工程；或单项施工合同造价≥800万元的消防安装工程。消防系统工程应具备相对独立的整体性，同时具备不少于火灾自动报警及联动控制系统、自动喷水灭火系统、水喷雾灭火系统、气体灭火系统、泡沫灭火系统、干粉灭火系统、防排烟系统、应急照明系统、大空间自动灭火跟踪系统等系统中的三个子系统以上（其中必须具备火灾自动报警及联动控制系统）。</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4、电子智能化安装工程：智能化安装工程单项合同工程造价</w:t>
      </w:r>
      <w:r>
        <w:rPr>
          <w:rFonts w:hint="eastAsia" w:ascii="Times New Roman" w:hAnsi="Times New Roman" w:eastAsia="方正仿宋_GBK"/>
          <w:color w:val="000000"/>
          <w:kern w:val="0"/>
          <w:sz w:val="32"/>
          <w:szCs w:val="32"/>
        </w:rPr>
        <w:t>≥</w:t>
      </w:r>
      <w:r>
        <w:rPr>
          <w:rFonts w:hint="eastAsia" w:ascii="Times New Roman" w:hAnsi="Times New Roman" w:eastAsia="方正仿宋_GBK"/>
          <w:kern w:val="0"/>
          <w:sz w:val="32"/>
          <w:szCs w:val="32"/>
        </w:rPr>
        <w:t>1000万元，同时具备不少于：（1）综合布线及计算机网络系统工程；（2）设备监控系统工程；（3）安全防范系统工程；（4）通信系统工程；（5）灯光音响广播会议系统工程；（6）智能卡系统工程；（7）车库管理系统工程；（8）物业管理综合信息系统工程；（9）卫星及共用电视系统工程；（10）信息显示发布系统工程；（11）智能化系统机房工程；（12）智能化系统集成工程；（13）舞台设施系统工程等系统中的五个子系统（独立单个子系统或者每个子系统中单项工程不作为优质工程评比）。</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5、环保工程：单池容积400立方米及以上厌氧生化处理池工程；一等甲级及以上等级医院医疗污水处理工程。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6、电力安装工程：110千伏及以上电压等级的送电线路（线路长度50千米及以上）和110千伏及以上等级的变电站工程。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7、空调制冷安装工程：工程造价≥1000万元，且具备完整使用功能的安装工程。</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七、钢结构专业工程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1、单项钢结构工程的制作或安装用钢量≥1500吨，或建筑面积≥1.2万平方米。</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2、大型空间钢结构工程，建筑面积≥5000 平方米。</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3、网架、网壳等空间结构工程，单跨跨度≥50米。</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4、单体建筑面积≥3000平方米的钢结构住宅或公共建筑。</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5、规模较小，但科技含量高，有创新，有特色的其他钢结构工程。</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八、装配式建筑工程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napToGrid w:val="0"/>
          <w:sz w:val="32"/>
          <w:szCs w:val="32"/>
        </w:rPr>
        <w:t>申报项目应为装配式民用建筑。项目具有一定规模，装配式混凝土结构、钢结构的住宅建筑规模不低于30000平方米，公共建筑规模不低于5000平方米，装配式木结构建筑不低于1000平方米</w:t>
      </w:r>
      <w:r>
        <w:rPr>
          <w:rFonts w:hint="eastAsia" w:ascii="Times New Roman" w:hAnsi="Times New Roman" w:eastAsia="方正仿宋_GBK"/>
          <w:sz w:val="32"/>
          <w:szCs w:val="32"/>
        </w:rPr>
        <w:t>。</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napToGrid w:val="0"/>
          <w:sz w:val="32"/>
          <w:szCs w:val="32"/>
        </w:rPr>
        <w:t>申报项目应具备标准化设计、工厂化生产、装配式施工、一体化装修、信息化管理的基本特征，采用的技术体系成熟可靠。混凝土结构单体建筑预制装配率要求：居住建筑不低于50%、公共建筑不低于45%，钢结构、木结构建筑预制装配率不低于60%，且达到一星级及以上绿色建筑标准要求。其中住宅项目必须为成品住房，优先支持装配化装修住宅，且</w:t>
      </w:r>
      <w:r>
        <w:rPr>
          <w:rFonts w:hint="eastAsia" w:ascii="Times New Roman" w:hAnsi="Times New Roman" w:eastAsia="方正仿宋_GBK"/>
          <w:sz w:val="32"/>
          <w:szCs w:val="32"/>
        </w:rPr>
        <w:t>入住率在40%及以上。</w:t>
      </w:r>
    </w:p>
    <w:p>
      <w:pPr>
        <w:spacing w:line="570" w:lineRule="exact"/>
        <w:ind w:firstLine="640" w:firstLineChars="200"/>
        <w:rPr>
          <w:rFonts w:hint="eastAsia" w:ascii="Times New Roman" w:hAnsi="Times New Roman" w:eastAsia="方正仿宋_GBK"/>
          <w:snapToGrid w:val="0"/>
          <w:kern w:val="32"/>
          <w:sz w:val="32"/>
          <w:szCs w:val="32"/>
        </w:rPr>
      </w:pPr>
      <w:r>
        <w:rPr>
          <w:rFonts w:hint="eastAsia" w:ascii="Times New Roman" w:hAnsi="Times New Roman" w:eastAsia="方正仿宋_GBK"/>
          <w:sz w:val="32"/>
          <w:szCs w:val="32"/>
        </w:rPr>
        <w:t>3、申报项目应按照《江苏省装配式建筑综合评定标准》</w:t>
      </w:r>
      <w:r>
        <w:rPr>
          <w:rFonts w:hint="eastAsia" w:ascii="Times New Roman" w:hAnsi="Times New Roman" w:eastAsia="方正仿宋_GBK"/>
          <w:snapToGrid w:val="0"/>
          <w:kern w:val="32"/>
          <w:sz w:val="32"/>
          <w:szCs w:val="32"/>
        </w:rPr>
        <w:t>DB32/T 3753开展装配式建筑综合评定，评定结果已在江苏省绿色建筑综合服务平台（https://gbpm.jscst.cn）自我声明，优先支持综合评定结果达到一星级以上的装配式建筑。</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九、工程总承包</w:t>
      </w:r>
    </w:p>
    <w:p>
      <w:pPr>
        <w:spacing w:line="570" w:lineRule="exact"/>
        <w:ind w:firstLine="640" w:firstLineChars="200"/>
        <w:rPr>
          <w:rFonts w:hint="eastAsia" w:ascii="Times New Roman" w:hAnsi="Times New Roman" w:eastAsia="方正仿宋_GBK"/>
          <w:snapToGrid w:val="0"/>
          <w:sz w:val="32"/>
          <w:szCs w:val="24"/>
        </w:rPr>
      </w:pPr>
      <w:r>
        <w:rPr>
          <w:rFonts w:ascii="Times New Roman" w:hAnsi="Times New Roman" w:eastAsia="方正仿宋_GBK"/>
          <w:snapToGrid w:val="0"/>
          <w:sz w:val="32"/>
          <w:szCs w:val="32"/>
        </w:rPr>
        <w:t>1、申报项目应为房屋建筑或市政工程。房屋建筑工程的申报规模标准如下：</w:t>
      </w:r>
    </w:p>
    <w:p>
      <w:pPr>
        <w:spacing w:line="570" w:lineRule="exact"/>
        <w:ind w:firstLine="640" w:firstLineChars="200"/>
        <w:rPr>
          <w:rFonts w:ascii="Times New Roman" w:hAnsi="Times New Roman" w:eastAsia="方正仿宋_GBK"/>
          <w:snapToGrid w:val="0"/>
          <w:sz w:val="32"/>
          <w:szCs w:val="32"/>
        </w:rPr>
      </w:pPr>
      <w:r>
        <w:rPr>
          <w:rFonts w:ascii="Times New Roman" w:hAnsi="Times New Roman" w:eastAsia="方正仿宋_GBK"/>
          <w:snapToGrid w:val="0"/>
          <w:sz w:val="32"/>
          <w:szCs w:val="32"/>
        </w:rPr>
        <w:t>（1）公共建筑工程：除砖混结构以外的建筑面积</w:t>
      </w:r>
      <w:r>
        <w:rPr>
          <w:rFonts w:hint="eastAsia" w:ascii="Times New Roman" w:hAnsi="Times New Roman" w:eastAsia="方正仿宋_GBK"/>
          <w:sz w:val="32"/>
          <w:szCs w:val="32"/>
        </w:rPr>
        <w:t>≥</w:t>
      </w:r>
      <w:r>
        <w:rPr>
          <w:rFonts w:ascii="Times New Roman" w:hAnsi="Times New Roman" w:eastAsia="方正仿宋_GBK"/>
          <w:snapToGrid w:val="0"/>
          <w:sz w:val="32"/>
          <w:szCs w:val="32"/>
        </w:rPr>
        <w:t>10000㎡或</w:t>
      </w:r>
      <w:r>
        <w:rPr>
          <w:rFonts w:hint="eastAsia" w:ascii="Times New Roman" w:hAnsi="Times New Roman" w:eastAsia="方正仿宋_GBK"/>
          <w:sz w:val="32"/>
          <w:szCs w:val="32"/>
        </w:rPr>
        <w:t>≥</w:t>
      </w:r>
      <w:r>
        <w:rPr>
          <w:rFonts w:ascii="Times New Roman" w:hAnsi="Times New Roman" w:eastAsia="方正仿宋_GBK"/>
          <w:snapToGrid w:val="0"/>
          <w:sz w:val="32"/>
          <w:szCs w:val="32"/>
        </w:rPr>
        <w:t>10层的单体工程，总建筑面积</w:t>
      </w:r>
      <w:r>
        <w:rPr>
          <w:rFonts w:hint="eastAsia" w:ascii="Times New Roman" w:hAnsi="Times New Roman" w:eastAsia="方正仿宋_GBK"/>
          <w:sz w:val="32"/>
          <w:szCs w:val="32"/>
        </w:rPr>
        <w:t>≥</w:t>
      </w:r>
      <w:r>
        <w:rPr>
          <w:rFonts w:ascii="Times New Roman" w:hAnsi="Times New Roman" w:eastAsia="方正仿宋_GBK"/>
          <w:snapToGrid w:val="0"/>
          <w:sz w:val="32"/>
          <w:szCs w:val="32"/>
        </w:rPr>
        <w:t>50000㎡的群体建筑。</w:t>
      </w:r>
    </w:p>
    <w:p>
      <w:pPr>
        <w:spacing w:line="570" w:lineRule="exact"/>
        <w:ind w:firstLine="640" w:firstLineChars="200"/>
        <w:rPr>
          <w:rFonts w:ascii="Times New Roman" w:hAnsi="Times New Roman" w:eastAsia="方正仿宋_GBK"/>
          <w:snapToGrid w:val="0"/>
          <w:sz w:val="32"/>
          <w:szCs w:val="32"/>
        </w:rPr>
      </w:pPr>
      <w:r>
        <w:rPr>
          <w:rFonts w:ascii="Times New Roman" w:hAnsi="Times New Roman" w:eastAsia="方正仿宋_GBK"/>
          <w:snapToGrid w:val="0"/>
          <w:sz w:val="32"/>
          <w:szCs w:val="32"/>
        </w:rPr>
        <w:t>（2）住宅工程：除砖混结构以外的总建筑面积</w:t>
      </w:r>
      <w:r>
        <w:rPr>
          <w:rFonts w:hint="eastAsia" w:ascii="Times New Roman" w:hAnsi="Times New Roman" w:eastAsia="方正仿宋_GBK"/>
          <w:sz w:val="32"/>
          <w:szCs w:val="32"/>
        </w:rPr>
        <w:t>≥</w:t>
      </w:r>
      <w:r>
        <w:rPr>
          <w:rFonts w:ascii="Times New Roman" w:hAnsi="Times New Roman" w:eastAsia="方正仿宋_GBK"/>
          <w:snapToGrid w:val="0"/>
          <w:sz w:val="32"/>
          <w:szCs w:val="32"/>
        </w:rPr>
        <w:t>80000㎡的住宅小区或组团，入住率在40%及以上。</w:t>
      </w:r>
    </w:p>
    <w:p>
      <w:pPr>
        <w:spacing w:line="570" w:lineRule="exact"/>
        <w:ind w:firstLine="640" w:firstLineChars="200"/>
        <w:rPr>
          <w:rFonts w:ascii="Times New Roman" w:hAnsi="Times New Roman" w:eastAsia="方正仿宋_GBK"/>
          <w:snapToGrid w:val="0"/>
          <w:sz w:val="32"/>
          <w:szCs w:val="32"/>
        </w:rPr>
      </w:pPr>
      <w:r>
        <w:rPr>
          <w:rFonts w:ascii="Times New Roman" w:hAnsi="Times New Roman" w:eastAsia="方正仿宋_GBK"/>
          <w:snapToGrid w:val="0"/>
          <w:sz w:val="32"/>
          <w:szCs w:val="32"/>
        </w:rPr>
        <w:t>（3）工业建筑工程：建筑面积</w:t>
      </w:r>
      <w:r>
        <w:rPr>
          <w:rFonts w:hint="eastAsia" w:ascii="Times New Roman" w:hAnsi="Times New Roman" w:eastAsia="方正仿宋_GBK"/>
          <w:sz w:val="32"/>
          <w:szCs w:val="32"/>
        </w:rPr>
        <w:t>≥</w:t>
      </w:r>
      <w:r>
        <w:rPr>
          <w:rFonts w:ascii="Times New Roman" w:hAnsi="Times New Roman" w:eastAsia="方正仿宋_GBK"/>
          <w:snapToGrid w:val="0"/>
          <w:sz w:val="32"/>
          <w:szCs w:val="32"/>
        </w:rPr>
        <w:t>10000㎡或单跨</w:t>
      </w:r>
      <w:r>
        <w:rPr>
          <w:rFonts w:hint="eastAsia" w:ascii="Times New Roman" w:hAnsi="Times New Roman" w:eastAsia="方正仿宋_GBK"/>
          <w:sz w:val="32"/>
          <w:szCs w:val="32"/>
        </w:rPr>
        <w:t>≥</w:t>
      </w:r>
      <w:r>
        <w:rPr>
          <w:rFonts w:ascii="Times New Roman" w:hAnsi="Times New Roman" w:eastAsia="方正仿宋_GBK"/>
          <w:snapToGrid w:val="0"/>
          <w:sz w:val="32"/>
          <w:szCs w:val="32"/>
        </w:rPr>
        <w:t>24米的单体工程，或单位工程总承包合同价</w:t>
      </w:r>
      <w:r>
        <w:rPr>
          <w:rFonts w:hint="eastAsia" w:ascii="Times New Roman" w:hAnsi="Times New Roman" w:eastAsia="方正仿宋_GBK"/>
          <w:sz w:val="32"/>
          <w:szCs w:val="32"/>
        </w:rPr>
        <w:t>≥</w:t>
      </w:r>
      <w:r>
        <w:rPr>
          <w:rFonts w:ascii="Times New Roman" w:hAnsi="Times New Roman" w:eastAsia="方正仿宋_GBK"/>
          <w:snapToGrid w:val="0"/>
          <w:sz w:val="32"/>
          <w:szCs w:val="32"/>
        </w:rPr>
        <w:t>1亿元的建设项目。</w:t>
      </w:r>
    </w:p>
    <w:p>
      <w:pPr>
        <w:spacing w:line="570" w:lineRule="exact"/>
        <w:ind w:firstLine="640" w:firstLineChars="200"/>
        <w:rPr>
          <w:rFonts w:ascii="Times New Roman" w:hAnsi="Times New Roman" w:eastAsia="方正仿宋_GBK"/>
          <w:snapToGrid w:val="0"/>
          <w:sz w:val="32"/>
          <w:szCs w:val="32"/>
        </w:rPr>
      </w:pPr>
      <w:r>
        <w:rPr>
          <w:rFonts w:ascii="Times New Roman" w:hAnsi="Times New Roman" w:eastAsia="方正仿宋_GBK"/>
          <w:snapToGrid w:val="0"/>
          <w:sz w:val="32"/>
          <w:szCs w:val="32"/>
        </w:rPr>
        <w:t>市政工程的申报规模标准同“二、市政工程”。</w:t>
      </w:r>
    </w:p>
    <w:p>
      <w:pPr>
        <w:spacing w:line="570" w:lineRule="exact"/>
        <w:ind w:firstLine="640" w:firstLineChars="200"/>
        <w:rPr>
          <w:rFonts w:ascii="Times New Roman" w:hAnsi="Times New Roman" w:eastAsia="方正仿宋_GBK"/>
          <w:snapToGrid w:val="0"/>
          <w:sz w:val="32"/>
          <w:szCs w:val="32"/>
        </w:rPr>
      </w:pPr>
      <w:r>
        <w:rPr>
          <w:rFonts w:ascii="Times New Roman" w:hAnsi="Times New Roman" w:eastAsia="方正仿宋_GBK"/>
          <w:snapToGrid w:val="0"/>
          <w:sz w:val="32"/>
          <w:szCs w:val="32"/>
        </w:rPr>
        <w:t>房屋建筑和市政工程参建单位工作量</w:t>
      </w:r>
      <w:r>
        <w:rPr>
          <w:rFonts w:hint="eastAsia" w:ascii="Times New Roman" w:hAnsi="Times New Roman" w:eastAsia="方正仿宋_GBK"/>
          <w:sz w:val="32"/>
          <w:szCs w:val="32"/>
        </w:rPr>
        <w:t>≥</w:t>
      </w:r>
      <w:r>
        <w:rPr>
          <w:rFonts w:ascii="Times New Roman" w:hAnsi="Times New Roman" w:eastAsia="方正仿宋_GBK"/>
          <w:snapToGrid w:val="0"/>
          <w:sz w:val="32"/>
          <w:szCs w:val="32"/>
        </w:rPr>
        <w:t>单位工程总承包合同价的10%或</w:t>
      </w:r>
      <w:r>
        <w:rPr>
          <w:rFonts w:hint="eastAsia" w:ascii="Times New Roman" w:hAnsi="Times New Roman" w:eastAsia="方正仿宋_GBK"/>
          <w:sz w:val="32"/>
          <w:szCs w:val="32"/>
        </w:rPr>
        <w:t>≥</w:t>
      </w:r>
      <w:r>
        <w:rPr>
          <w:rFonts w:ascii="Times New Roman" w:hAnsi="Times New Roman" w:eastAsia="方正仿宋_GBK"/>
          <w:snapToGrid w:val="0"/>
          <w:sz w:val="32"/>
          <w:szCs w:val="32"/>
        </w:rPr>
        <w:t>2000万元的，均可作为参建单位申报。</w:t>
      </w:r>
    </w:p>
    <w:p>
      <w:pPr>
        <w:spacing w:line="570" w:lineRule="exact"/>
        <w:ind w:firstLine="640" w:firstLineChars="200"/>
        <w:rPr>
          <w:rFonts w:ascii="Times New Roman" w:hAnsi="Times New Roman" w:cs="方正仿宋_GBK"/>
          <w:szCs w:val="24"/>
        </w:rPr>
      </w:pPr>
      <w:r>
        <w:rPr>
          <w:rFonts w:hint="eastAsia" w:ascii="Times New Roman" w:hAnsi="Times New Roman" w:eastAsia="方正仿宋_GBK" w:cs="方正仿宋_GBK"/>
          <w:sz w:val="32"/>
          <w:szCs w:val="32"/>
        </w:rPr>
        <w:t>2、申报项目应符合《房屋建筑和市政基础设施项目工程总承包管理办法》（建市规〔2019〕12号）要求，工程总承包单位应当同时具有与工程规模相适应的工程设计资质和施工资质，或者由具有相应资质的设计单位和施工单位组成联合体。优先支持江苏省工程总承包试点企业申报。</w:t>
      </w:r>
    </w:p>
    <w:p>
      <w:pPr>
        <w:spacing w:line="570" w:lineRule="exact"/>
        <w:ind w:firstLine="640" w:firstLineChars="200"/>
        <w:rPr>
          <w:rFonts w:hint="eastAsia" w:ascii="Times New Roman" w:hAnsi="Times New Roman" w:eastAsia="方正仿宋_GBK"/>
          <w:snapToGrid w:val="0"/>
          <w:kern w:val="32"/>
          <w:sz w:val="32"/>
          <w:szCs w:val="32"/>
        </w:rPr>
      </w:pPr>
      <w:r>
        <w:rPr>
          <w:rFonts w:hint="eastAsia" w:ascii="Times New Roman" w:hAnsi="Times New Roman" w:eastAsia="方正仿宋_GBK" w:cs="方正仿宋_GBK"/>
          <w:sz w:val="32"/>
          <w:szCs w:val="32"/>
        </w:rPr>
        <w:t>3、申报项目采用总价合同，合同采用国际通行的有风险责任的工程项目管理合同条件，合理约定具体风险分担内容。申报的项目管理技术达到同期国内先进水平，项目合同执行成效突出，在费用、进度控制上体现工程总承包的优势。</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十、全过程工程咨询</w:t>
      </w:r>
    </w:p>
    <w:p>
      <w:pPr>
        <w:spacing w:line="570" w:lineRule="exact"/>
        <w:ind w:firstLine="640" w:firstLineChars="200"/>
        <w:rPr>
          <w:rFonts w:hint="eastAsia" w:ascii="Times New Roman" w:hAnsi="Times New Roman" w:eastAsia="方正仿宋_GBK"/>
          <w:snapToGrid w:val="0"/>
          <w:kern w:val="32"/>
          <w:sz w:val="32"/>
          <w:szCs w:val="32"/>
        </w:rPr>
      </w:pPr>
      <w:r>
        <w:rPr>
          <w:rFonts w:ascii="Times New Roman" w:hAnsi="Times New Roman" w:eastAsia="方正仿宋_GBK"/>
          <w:snapToGrid w:val="0"/>
          <w:sz w:val="32"/>
          <w:szCs w:val="32"/>
        </w:rPr>
        <w:t>1、申报项目应为房屋建筑或市政工程。申报规模标准同“一、房屋建筑工程”“二、市政工程”。</w:t>
      </w:r>
    </w:p>
    <w:p>
      <w:pPr>
        <w:spacing w:line="570" w:lineRule="exact"/>
        <w:ind w:firstLine="640" w:firstLineChars="200"/>
        <w:rPr>
          <w:rFonts w:hint="eastAsia" w:ascii="Times New Roman" w:hAnsi="Times New Roman" w:eastAsia="方正仿宋_GBK"/>
          <w:snapToGrid w:val="0"/>
          <w:kern w:val="32"/>
          <w:sz w:val="32"/>
          <w:szCs w:val="32"/>
        </w:rPr>
      </w:pPr>
      <w:r>
        <w:rPr>
          <w:rFonts w:hint="eastAsia" w:ascii="Times New Roman" w:hAnsi="Times New Roman" w:eastAsia="方正仿宋_GBK"/>
          <w:snapToGrid w:val="0"/>
          <w:kern w:val="32"/>
          <w:sz w:val="32"/>
          <w:szCs w:val="32"/>
        </w:rPr>
        <w:t>2、申报项目应包含投资决策咨询（或项目策划）、招标代理、勘察、设计、监理、造价、项目管理等主要业务中的三项及以上业务。</w:t>
      </w:r>
    </w:p>
    <w:p>
      <w:pPr>
        <w:spacing w:line="570" w:lineRule="exact"/>
        <w:ind w:firstLine="640" w:firstLineChars="200"/>
        <w:rPr>
          <w:rFonts w:hint="eastAsia" w:ascii="Times New Roman" w:hAnsi="Times New Roman" w:eastAsia="方正仿宋_GBK"/>
          <w:snapToGrid w:val="0"/>
          <w:kern w:val="32"/>
          <w:sz w:val="32"/>
          <w:szCs w:val="32"/>
        </w:rPr>
      </w:pPr>
      <w:r>
        <w:rPr>
          <w:rFonts w:hint="eastAsia" w:ascii="Times New Roman" w:hAnsi="Times New Roman" w:eastAsia="方正仿宋_GBK"/>
          <w:snapToGrid w:val="0"/>
          <w:kern w:val="32"/>
          <w:sz w:val="32"/>
          <w:szCs w:val="32"/>
        </w:rPr>
        <w:t>3、申报项目应在提高投资效益和工程建设质量等方面体现全过程工程咨询的优势，在增强工程建设过程的协同性、促进多业务的融合等方面具有一定的代表性，对推动我省全过程工程咨询服务发展有一定借鉴作用。</w:t>
      </w:r>
    </w:p>
    <w:p>
      <w:pPr>
        <w:spacing w:line="570" w:lineRule="exact"/>
        <w:ind w:firstLine="640" w:firstLineChars="200"/>
        <w:rPr>
          <w:rFonts w:hint="eastAsia" w:ascii="Times New Roman" w:hAnsi="Times New Roman" w:eastAsia="方正仿宋_GBK"/>
          <w:snapToGrid w:val="0"/>
          <w:kern w:val="32"/>
          <w:sz w:val="32"/>
          <w:szCs w:val="32"/>
        </w:rPr>
      </w:pPr>
      <w:r>
        <w:rPr>
          <w:rFonts w:hint="eastAsia" w:ascii="Times New Roman" w:hAnsi="Times New Roman" w:eastAsia="方正仿宋_GBK"/>
          <w:snapToGrid w:val="0"/>
          <w:kern w:val="32"/>
          <w:sz w:val="32"/>
          <w:szCs w:val="32"/>
        </w:rPr>
        <w:t>4、全过程工程咨询单位提供勘察、设计或监理服务时，应当具有与工程规模及委托内容相适应的资质条件。</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十一、智能建造</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1、申报项目应为房屋建筑工程。申报规模标准如下：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（1）公共建筑工程：除砖混结构以外的建筑面积≥10000㎡或≥10层的单体工程，总建筑面积≥50000㎡的群体建筑。</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（2）住宅工程：除砖混结构以外的建筑面积≥10000㎡的单体住宅工程，总建筑面积≥50000㎡的住宅小区或组团，装配率满足基本要求，入住率在40%及以上。</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（3）工业建筑工程：建筑面积≥10000㎡或单跨≥24米的单体工程，或单位工程造价≥8000万元的建设项目。</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参建单位工作量≥单位工程造价的10%或≥2000万元的，均可作为参建单位申报。</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2、申报的项目智能建造技术应用应达到同期国内先进水平，项目施工管理水平突出，在用工、造价、进度控制等方面体现出智能建造优势。</w:t>
      </w:r>
    </w:p>
    <w:p>
      <w:r>
        <w:rPr>
          <w:rFonts w:ascii="Times New Roman" w:hAnsi="Times New Roman" w:eastAsia="方正仿宋_GBK"/>
          <w:snapToGrid w:val="0"/>
          <w:kern w:val="0"/>
          <w:sz w:val="32"/>
          <w:szCs w:val="20"/>
          <w:highlight w:val="yellow"/>
        </w:rPr>
        <w:br w:type="column"/>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ZDhmNjM1YjQwYzUyODAxYmY2NGFlOGQyMDEwN2IifQ=="/>
  </w:docVars>
  <w:rsids>
    <w:rsidRoot w:val="6FC65850"/>
    <w:rsid w:val="6FC65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2023-01-03T06:36:00Z</dcterms:created>
  <dc:creator>ZXJ</dc:creator>
  <cp:lastModifiedBy>ZXJ</cp:lastModifiedBy>
  <dcterms:modified xsi:type="dcterms:W3CDTF">2023-01-03T06:36:27Z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1A0B3B6D77A74A26A620554B1A9A572D</vt:lpwstr>
  </property>
</Properties>
</file>