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5B" w:rsidRDefault="003D4940">
      <w:pPr>
        <w:jc w:val="right"/>
        <w:rPr>
          <w:rFonts w:ascii="Times New Roman" w:eastAsia="宋体" w:hAnsi="Times New Roman" w:cs="Times New Roman"/>
          <w:b/>
          <w:w w:val="150"/>
          <w:kern w:val="2"/>
          <w:sz w:val="96"/>
          <w:szCs w:val="96"/>
        </w:rPr>
      </w:pPr>
      <w:r>
        <w:rPr>
          <w:rFonts w:ascii="Times New Roman" w:eastAsia="宋体" w:hAnsi="Times New Roman" w:cs="Times New Roman"/>
          <w:b/>
          <w:w w:val="150"/>
          <w:kern w:val="2"/>
          <w:sz w:val="96"/>
          <w:szCs w:val="96"/>
        </w:rPr>
        <w:t>Q</w:t>
      </w:r>
      <w:r>
        <w:rPr>
          <w:rFonts w:ascii="Times New Roman" w:eastAsia="宋体" w:hAnsi="Times New Roman" w:cs="Times New Roman" w:hint="eastAsia"/>
          <w:b/>
          <w:w w:val="150"/>
          <w:kern w:val="2"/>
          <w:sz w:val="96"/>
          <w:szCs w:val="96"/>
        </w:rPr>
        <w:t>/CZ</w:t>
      </w:r>
      <w:r>
        <w:rPr>
          <w:rFonts w:ascii="Times New Roman" w:eastAsia="宋体" w:hAnsi="Times New Roman" w:cs="Times New Roman"/>
          <w:b/>
          <w:w w:val="150"/>
          <w:kern w:val="2"/>
          <w:sz w:val="96"/>
          <w:szCs w:val="96"/>
        </w:rPr>
        <w:t>SC</w:t>
      </w:r>
    </w:p>
    <w:p w:rsidR="004B5D5B" w:rsidRDefault="003D4940">
      <w:pPr>
        <w:jc w:val="distribute"/>
        <w:rPr>
          <w:rFonts w:ascii="黑体" w:eastAsia="黑体"/>
          <w:spacing w:val="20"/>
          <w:sz w:val="52"/>
          <w:szCs w:val="52"/>
        </w:rPr>
      </w:pPr>
      <w:r>
        <w:rPr>
          <w:rFonts w:ascii="黑体" w:eastAsia="黑体" w:hint="eastAsia"/>
          <w:spacing w:val="20"/>
          <w:sz w:val="52"/>
          <w:szCs w:val="52"/>
        </w:rPr>
        <w:t>常州创业投资集团有限公司企业标准</w:t>
      </w:r>
    </w:p>
    <w:p w:rsidR="004B5D5B" w:rsidRDefault="003D4940">
      <w:pPr>
        <w:jc w:val="right"/>
        <w:rPr>
          <w:rFonts w:ascii="黑体" w:eastAsia="黑体"/>
          <w:spacing w:val="20"/>
          <w:sz w:val="28"/>
          <w:szCs w:val="28"/>
        </w:rPr>
      </w:pPr>
      <w:r>
        <w:rPr>
          <w:rFonts w:ascii="黑体" w:eastAsia="黑体" w:hint="eastAsia"/>
          <w:spacing w:val="20"/>
          <w:sz w:val="28"/>
          <w:szCs w:val="28"/>
        </w:rPr>
        <w:t>Q/CZ</w:t>
      </w:r>
      <w:r>
        <w:rPr>
          <w:rFonts w:ascii="黑体" w:eastAsia="黑体"/>
          <w:spacing w:val="20"/>
          <w:sz w:val="28"/>
          <w:szCs w:val="28"/>
        </w:rPr>
        <w:t>SC</w:t>
      </w:r>
      <w:r>
        <w:rPr>
          <w:rFonts w:ascii="黑体" w:eastAsia="黑体" w:hint="eastAsia"/>
          <w:spacing w:val="20"/>
          <w:sz w:val="28"/>
          <w:szCs w:val="28"/>
        </w:rPr>
        <w:t xml:space="preserve"> TG301-</w:t>
      </w:r>
      <w:r>
        <w:t xml:space="preserve"> </w:t>
      </w:r>
      <w:r>
        <w:rPr>
          <w:rFonts w:ascii="黑体" w:eastAsia="黑体"/>
          <w:spacing w:val="20"/>
          <w:sz w:val="28"/>
          <w:szCs w:val="28"/>
        </w:rPr>
        <w:t>5-2020</w:t>
      </w:r>
    </w:p>
    <w:p w:rsidR="004B5D5B" w:rsidRDefault="003D4940">
      <w:pPr>
        <w:rPr>
          <w:rFonts w:ascii="黑体" w:eastAsia="黑体"/>
          <w:spacing w:val="20"/>
          <w:sz w:val="28"/>
          <w:szCs w:val="28"/>
        </w:rPr>
      </w:pPr>
      <w:r>
        <w:rPr>
          <w:rFonts w:ascii="黑体" w:eastAsia="黑体"/>
          <w:noProof/>
          <w:spacing w:val="2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0" t="0" r="0" b="0"/>
                <wp:wrapNone/>
                <wp:docPr id="1" name="Line 4"/>
                <wp:cNvGraphicFramePr/>
                <a:graphic xmlns:a="http://schemas.openxmlformats.org/drawingml/2006/main">
                  <a:graphicData uri="http://schemas.microsoft.com/office/word/2010/wordprocessingShape">
                    <wps:wsp>
                      <wps:cNvCnPr/>
                      <wps:spPr>
                        <a:xfrm>
                          <a:off x="0" y="0"/>
                          <a:ext cx="5943600" cy="0"/>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w14:anchorId="724229C7" id="Line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" strokeweight=".25pt"/>
            </w:pict>
          </mc:Fallback>
        </mc:AlternateContent>
      </w:r>
    </w:p>
    <w:p w:rsidR="004B5D5B" w:rsidRDefault="004B5D5B">
      <w:pPr>
        <w:rPr>
          <w:rFonts w:ascii="黑体" w:eastAsia="黑体"/>
          <w:spacing w:val="20"/>
          <w:sz w:val="28"/>
          <w:szCs w:val="28"/>
        </w:rPr>
      </w:pPr>
    </w:p>
    <w:p w:rsidR="004B5D5B" w:rsidRDefault="004B5D5B">
      <w:pPr>
        <w:rPr>
          <w:rFonts w:ascii="黑体" w:eastAsia="黑体" w:hAnsi="黑体" w:cs="黑体"/>
          <w:spacing w:val="20"/>
          <w:sz w:val="52"/>
          <w:szCs w:val="52"/>
        </w:rPr>
      </w:pPr>
    </w:p>
    <w:p w:rsidR="004B5D5B" w:rsidRDefault="003D4940">
      <w:pPr>
        <w:jc w:val="center"/>
        <w:rPr>
          <w:rFonts w:ascii="黑体" w:eastAsia="黑体" w:hAnsi="黑体" w:cs="黑体"/>
          <w:b/>
          <w:i/>
          <w:spacing w:val="20"/>
          <w:sz w:val="52"/>
          <w:szCs w:val="52"/>
        </w:rPr>
      </w:pPr>
      <w:r>
        <w:rPr>
          <w:rFonts w:ascii="黑体" w:eastAsia="黑体" w:hAnsi="黑体" w:cs="黑体" w:hint="eastAsia"/>
          <w:b/>
          <w:sz w:val="52"/>
          <w:szCs w:val="52"/>
        </w:rPr>
        <w:t>创新创业服务平台信息</w:t>
      </w:r>
      <w:r w:rsidR="006F6384" w:rsidRPr="0099040C">
        <w:rPr>
          <w:rFonts w:ascii="黑体" w:eastAsia="黑体" w:hAnsi="黑体" w:cs="黑体" w:hint="eastAsia"/>
          <w:b/>
          <w:sz w:val="52"/>
          <w:szCs w:val="52"/>
        </w:rPr>
        <w:t>安全</w:t>
      </w:r>
      <w:r>
        <w:rPr>
          <w:rFonts w:ascii="黑体" w:eastAsia="黑体" w:hAnsi="黑体" w:cs="黑体" w:hint="eastAsia"/>
          <w:b/>
          <w:sz w:val="52"/>
          <w:szCs w:val="52"/>
        </w:rPr>
        <w:t>管理办法</w:t>
      </w:r>
    </w:p>
    <w:p w:rsidR="004B5D5B" w:rsidRDefault="004B5D5B">
      <w:pPr>
        <w:rPr>
          <w:rFonts w:ascii="黑体" w:eastAsia="黑体"/>
          <w:spacing w:val="20"/>
          <w:sz w:val="28"/>
          <w:szCs w:val="28"/>
        </w:rPr>
      </w:pPr>
    </w:p>
    <w:p w:rsidR="004B5D5B" w:rsidRDefault="004B5D5B">
      <w:pPr>
        <w:rPr>
          <w:rFonts w:ascii="黑体" w:eastAsia="黑体"/>
          <w:spacing w:val="20"/>
          <w:sz w:val="28"/>
          <w:szCs w:val="28"/>
        </w:rPr>
      </w:pPr>
    </w:p>
    <w:p w:rsidR="004B5D5B" w:rsidRDefault="004B5D5B">
      <w:pPr>
        <w:rPr>
          <w:rFonts w:ascii="黑体" w:eastAsia="黑体"/>
          <w:spacing w:val="20"/>
          <w:sz w:val="28"/>
          <w:szCs w:val="28"/>
        </w:rPr>
      </w:pPr>
    </w:p>
    <w:p w:rsidR="004B5D5B" w:rsidRDefault="004B5D5B">
      <w:pPr>
        <w:rPr>
          <w:rFonts w:ascii="黑体" w:eastAsia="黑体"/>
          <w:spacing w:val="20"/>
          <w:sz w:val="28"/>
          <w:szCs w:val="28"/>
        </w:rPr>
      </w:pPr>
    </w:p>
    <w:p w:rsidR="004B5D5B" w:rsidRDefault="004B5D5B">
      <w:pPr>
        <w:rPr>
          <w:rFonts w:ascii="黑体" w:eastAsia="黑体"/>
          <w:spacing w:val="20"/>
          <w:sz w:val="28"/>
          <w:szCs w:val="28"/>
        </w:rPr>
      </w:pPr>
    </w:p>
    <w:p w:rsidR="004B5D5B" w:rsidRDefault="004B5D5B">
      <w:pPr>
        <w:rPr>
          <w:rFonts w:ascii="黑体" w:eastAsia="黑体"/>
          <w:spacing w:val="20"/>
          <w:sz w:val="28"/>
          <w:szCs w:val="28"/>
        </w:rPr>
      </w:pPr>
    </w:p>
    <w:p w:rsidR="004B5D5B" w:rsidRDefault="004B5D5B">
      <w:pPr>
        <w:rPr>
          <w:rFonts w:ascii="黑体" w:eastAsia="黑体"/>
          <w:spacing w:val="20"/>
          <w:sz w:val="28"/>
          <w:szCs w:val="28"/>
        </w:rPr>
      </w:pPr>
    </w:p>
    <w:p w:rsidR="004B5D5B" w:rsidRDefault="004B5D5B">
      <w:pPr>
        <w:rPr>
          <w:rFonts w:ascii="黑体" w:eastAsia="黑体"/>
          <w:spacing w:val="20"/>
          <w:szCs w:val="21"/>
        </w:rPr>
      </w:pPr>
    </w:p>
    <w:p w:rsidR="004B5D5B" w:rsidRDefault="004B5D5B">
      <w:pPr>
        <w:rPr>
          <w:rFonts w:ascii="黑体" w:eastAsia="黑体"/>
          <w:spacing w:val="20"/>
          <w:szCs w:val="21"/>
        </w:rPr>
      </w:pPr>
    </w:p>
    <w:p w:rsidR="004B5D5B" w:rsidRDefault="004B5D5B">
      <w:pPr>
        <w:rPr>
          <w:rFonts w:ascii="黑体" w:eastAsia="黑体"/>
          <w:spacing w:val="20"/>
          <w:szCs w:val="21"/>
        </w:rPr>
      </w:pPr>
    </w:p>
    <w:p w:rsidR="004B5D5B" w:rsidRDefault="004B5D5B">
      <w:pPr>
        <w:rPr>
          <w:rFonts w:ascii="黑体" w:eastAsia="黑体"/>
          <w:spacing w:val="20"/>
          <w:szCs w:val="21"/>
        </w:rPr>
      </w:pPr>
    </w:p>
    <w:p w:rsidR="004B5D5B" w:rsidRDefault="004B5D5B">
      <w:pPr>
        <w:rPr>
          <w:rFonts w:ascii="黑体" w:eastAsia="黑体"/>
          <w:spacing w:val="20"/>
          <w:szCs w:val="21"/>
        </w:rPr>
      </w:pPr>
    </w:p>
    <w:p w:rsidR="004B5D5B" w:rsidRDefault="004B5D5B">
      <w:pPr>
        <w:rPr>
          <w:rFonts w:ascii="黑体" w:eastAsia="黑体"/>
          <w:i/>
          <w:spacing w:val="20"/>
          <w:szCs w:val="21"/>
        </w:rPr>
      </w:pPr>
    </w:p>
    <w:p w:rsidR="004B5D5B" w:rsidRDefault="003D4940">
      <w:pPr>
        <w:rPr>
          <w:rFonts w:ascii="黑体" w:eastAsia="黑体"/>
          <w:spacing w:val="20"/>
          <w:sz w:val="28"/>
          <w:szCs w:val="28"/>
        </w:rPr>
      </w:pPr>
      <w:r>
        <w:rPr>
          <w:rFonts w:ascii="黑体" w:eastAsia="黑体" w:hint="eastAsia"/>
          <w:spacing w:val="20"/>
          <w:sz w:val="28"/>
          <w:szCs w:val="28"/>
        </w:rPr>
        <w:t>2020-</w:t>
      </w:r>
      <w:r w:rsidR="008F0D83">
        <w:rPr>
          <w:rFonts w:ascii="黑体" w:eastAsia="黑体" w:hint="eastAsia"/>
          <w:spacing w:val="20"/>
          <w:sz w:val="28"/>
          <w:szCs w:val="28"/>
        </w:rPr>
        <w:t>11</w:t>
      </w:r>
      <w:r>
        <w:rPr>
          <w:rFonts w:ascii="黑体" w:eastAsia="黑体" w:hint="eastAsia"/>
          <w:spacing w:val="20"/>
          <w:sz w:val="28"/>
          <w:szCs w:val="28"/>
        </w:rPr>
        <w:t>-0</w:t>
      </w:r>
      <w:r w:rsidR="008F0D83">
        <w:rPr>
          <w:rFonts w:ascii="黑体" w:eastAsia="黑体" w:hint="eastAsia"/>
          <w:spacing w:val="20"/>
          <w:sz w:val="28"/>
          <w:szCs w:val="28"/>
        </w:rPr>
        <w:t>6</w:t>
      </w:r>
      <w:r>
        <w:rPr>
          <w:rFonts w:ascii="黑体" w:eastAsia="黑体" w:hint="eastAsia"/>
          <w:spacing w:val="20"/>
          <w:sz w:val="28"/>
          <w:szCs w:val="28"/>
        </w:rPr>
        <w:t>发布                          2020-</w:t>
      </w:r>
      <w:r w:rsidR="008F0D83">
        <w:rPr>
          <w:rFonts w:ascii="黑体" w:eastAsia="黑体" w:hint="eastAsia"/>
          <w:spacing w:val="20"/>
          <w:sz w:val="28"/>
          <w:szCs w:val="28"/>
        </w:rPr>
        <w:t>11</w:t>
      </w:r>
      <w:r>
        <w:rPr>
          <w:rFonts w:ascii="黑体" w:eastAsia="黑体" w:hint="eastAsia"/>
          <w:spacing w:val="20"/>
          <w:sz w:val="28"/>
          <w:szCs w:val="28"/>
        </w:rPr>
        <w:t>-0</w:t>
      </w:r>
      <w:r w:rsidR="008F0D83">
        <w:rPr>
          <w:rFonts w:ascii="黑体" w:eastAsia="黑体" w:hint="eastAsia"/>
          <w:spacing w:val="20"/>
          <w:sz w:val="28"/>
          <w:szCs w:val="28"/>
        </w:rPr>
        <w:t>6</w:t>
      </w:r>
      <w:r>
        <w:rPr>
          <w:rFonts w:ascii="黑体" w:eastAsia="黑体" w:hint="eastAsia"/>
          <w:spacing w:val="20"/>
          <w:sz w:val="28"/>
          <w:szCs w:val="28"/>
        </w:rPr>
        <w:t>实施</w:t>
      </w:r>
    </w:p>
    <w:p w:rsidR="004B5D5B" w:rsidRDefault="003D4940">
      <w:pPr>
        <w:spacing w:beforeLines="100" w:before="312"/>
        <w:jc w:val="center"/>
        <w:rPr>
          <w:rFonts w:ascii="黑体" w:eastAsia="黑体"/>
          <w:spacing w:val="20"/>
          <w:sz w:val="28"/>
          <w:szCs w:val="28"/>
        </w:rPr>
        <w:sectPr w:rsidR="004B5D5B">
          <w:headerReference w:type="default" r:id="rId7"/>
          <w:footerReference w:type="even" r:id="rId8"/>
          <w:pgSz w:w="11906" w:h="16838"/>
          <w:pgMar w:top="934" w:right="1134" w:bottom="784" w:left="1418" w:header="851" w:footer="992" w:gutter="0"/>
          <w:cols w:space="720"/>
          <w:docGrid w:type="lines" w:linePitch="312"/>
        </w:sectPr>
      </w:pPr>
      <w:r>
        <w:rPr>
          <w:rFonts w:ascii="黑体" w:eastAsia="黑体"/>
          <w:noProof/>
          <w:spacing w:val="20"/>
          <w:w w:val="150"/>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894705" cy="635"/>
                <wp:effectExtent l="0" t="0" r="0" b="0"/>
                <wp:wrapNone/>
                <wp:docPr id="2" name="Line 7"/>
                <wp:cNvGraphicFramePr/>
                <a:graphic xmlns:a="http://schemas.openxmlformats.org/drawingml/2006/main">
                  <a:graphicData uri="http://schemas.microsoft.com/office/word/2010/wordprocessingShape">
                    <wps:wsp>
                      <wps:cNvCnPr/>
                      <wps:spPr>
                        <a:xfrm>
                          <a:off x="0" y="0"/>
                          <a:ext cx="5894705"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w14:anchorId="5B8FAC31" id="Line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5pt" to="46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" strokeweight=".25pt"/>
            </w:pict>
          </mc:Fallback>
        </mc:AlternateContent>
      </w:r>
      <w:r>
        <w:rPr>
          <w:rFonts w:ascii="黑体" w:eastAsia="黑体" w:hint="eastAsia"/>
          <w:spacing w:val="20"/>
          <w:w w:val="150"/>
          <w:sz w:val="36"/>
          <w:szCs w:val="36"/>
        </w:rPr>
        <w:t>常州创业投资集团有限公司</w:t>
      </w:r>
      <w:r>
        <w:rPr>
          <w:rFonts w:ascii="黑体" w:eastAsia="黑体" w:hint="eastAsia"/>
          <w:spacing w:val="20"/>
          <w:sz w:val="28"/>
          <w:szCs w:val="28"/>
        </w:rPr>
        <w:t xml:space="preserve"> </w:t>
      </w:r>
      <w:bookmarkStart w:id="0" w:name="_GoBack"/>
      <w:bookmarkEnd w:id="0"/>
      <w:r>
        <w:rPr>
          <w:rFonts w:ascii="黑体" w:eastAsia="黑体" w:hint="eastAsia"/>
          <w:spacing w:val="20"/>
          <w:sz w:val="28"/>
          <w:szCs w:val="28"/>
        </w:rPr>
        <w:t>发布</w:t>
      </w:r>
    </w:p>
    <w:p w:rsidR="004B5D5B" w:rsidRDefault="003D4940">
      <w:pPr>
        <w:jc w:val="center"/>
        <w:rPr>
          <w:rFonts w:ascii="黑体" w:eastAsia="黑体"/>
          <w:spacing w:val="20"/>
          <w:sz w:val="32"/>
          <w:szCs w:val="32"/>
        </w:rPr>
      </w:pPr>
      <w:r>
        <w:rPr>
          <w:rFonts w:ascii="黑体" w:eastAsia="黑体" w:hint="eastAsia"/>
          <w:spacing w:val="20"/>
          <w:sz w:val="32"/>
          <w:szCs w:val="32"/>
        </w:rPr>
        <w:lastRenderedPageBreak/>
        <w:t>前   言</w:t>
      </w:r>
    </w:p>
    <w:p w:rsidR="004B5D5B" w:rsidRDefault="004B5D5B">
      <w:pPr>
        <w:rPr>
          <w:rFonts w:ascii="黑体" w:eastAsia="黑体"/>
          <w:i/>
          <w:spacing w:val="20"/>
          <w:szCs w:val="21"/>
        </w:rPr>
      </w:pPr>
    </w:p>
    <w:p w:rsidR="004B5D5B" w:rsidRDefault="003D4940">
      <w:pPr>
        <w:widowControl w:val="0"/>
        <w:adjustRightInd/>
        <w:snapToGrid/>
        <w:spacing w:after="0"/>
        <w:ind w:firstLineChars="200" w:firstLine="420"/>
        <w:jc w:val="both"/>
        <w:rPr>
          <w:rFonts w:ascii="宋体" w:eastAsia="宋体" w:hAnsi="宋体" w:cs="Times New Roman"/>
          <w:color w:val="000000"/>
          <w:kern w:val="2"/>
          <w:sz w:val="21"/>
          <w:szCs w:val="24"/>
        </w:rPr>
      </w:pPr>
      <w:r>
        <w:rPr>
          <w:rFonts w:ascii="宋体" w:eastAsia="宋体" w:hAnsi="宋体" w:cs="Times New Roman" w:hint="eastAsia"/>
          <w:color w:val="000000"/>
          <w:kern w:val="2"/>
          <w:sz w:val="21"/>
          <w:szCs w:val="24"/>
        </w:rPr>
        <w:t>本标准编写遵循GB/T 1.1-2009《标准化工作导则  第1部分:标准的结构和编写》、苏市监规〔2019〕8 号《江苏省电子商务平台管理规范（试行）》规定。</w:t>
      </w:r>
    </w:p>
    <w:p w:rsidR="004B5D5B" w:rsidRDefault="003D4940">
      <w:pPr>
        <w:widowControl w:val="0"/>
        <w:adjustRightInd/>
        <w:snapToGrid/>
        <w:spacing w:after="0"/>
        <w:ind w:firstLineChars="200" w:firstLine="420"/>
        <w:jc w:val="both"/>
        <w:rPr>
          <w:rFonts w:ascii="宋体" w:eastAsia="宋体" w:hAnsi="宋体" w:cs="Times New Roman"/>
          <w:color w:val="000000"/>
          <w:kern w:val="2"/>
          <w:sz w:val="21"/>
          <w:szCs w:val="24"/>
        </w:rPr>
      </w:pPr>
      <w:r>
        <w:rPr>
          <w:rFonts w:ascii="宋体" w:eastAsia="宋体" w:hAnsi="宋体" w:cs="Times New Roman" w:hint="eastAsia"/>
          <w:color w:val="000000"/>
          <w:kern w:val="2"/>
          <w:sz w:val="21"/>
          <w:szCs w:val="24"/>
        </w:rPr>
        <w:t>本标准起草单位：常州创业投资集团有限公司。</w:t>
      </w:r>
    </w:p>
    <w:p w:rsidR="004B5D5B" w:rsidRDefault="003D4940">
      <w:pPr>
        <w:widowControl w:val="0"/>
        <w:adjustRightInd/>
        <w:snapToGrid/>
        <w:spacing w:after="0"/>
        <w:ind w:firstLineChars="200" w:firstLine="420"/>
        <w:jc w:val="both"/>
        <w:rPr>
          <w:rFonts w:ascii="宋体" w:eastAsia="宋体" w:hAnsi="宋体" w:cs="Times New Roman"/>
          <w:color w:val="000000"/>
          <w:kern w:val="2"/>
          <w:sz w:val="21"/>
          <w:szCs w:val="24"/>
        </w:rPr>
      </w:pPr>
      <w:r>
        <w:rPr>
          <w:rFonts w:ascii="宋体" w:eastAsia="宋体" w:hAnsi="宋体" w:cs="Times New Roman" w:hint="eastAsia"/>
          <w:color w:val="000000"/>
          <w:kern w:val="2"/>
          <w:sz w:val="21"/>
          <w:szCs w:val="24"/>
        </w:rPr>
        <w:t>本标准主要起草人：李磊、缪香香。</w:t>
      </w:r>
    </w:p>
    <w:p w:rsidR="004B5D5B" w:rsidRDefault="004B5D5B">
      <w:pPr>
        <w:rPr>
          <w:rFonts w:ascii="宋体" w:hAnsi="宋体"/>
          <w:spacing w:val="20"/>
          <w:szCs w:val="21"/>
        </w:rPr>
        <w:sectPr w:rsidR="004B5D5B">
          <w:headerReference w:type="default" r:id="rId9"/>
          <w:footerReference w:type="default" r:id="rId10"/>
          <w:pgSz w:w="11906" w:h="16838"/>
          <w:pgMar w:top="567" w:right="1134" w:bottom="1134" w:left="1417" w:header="1418" w:footer="1134" w:gutter="0"/>
          <w:pgNumType w:start="1"/>
          <w:cols w:space="720"/>
          <w:formProt w:val="0"/>
          <w:docGrid w:type="lines" w:linePitch="312"/>
        </w:sectPr>
      </w:pPr>
    </w:p>
    <w:p w:rsidR="004B5D5B" w:rsidRDefault="003D4940">
      <w:pPr>
        <w:spacing w:line="360" w:lineRule="auto"/>
        <w:jc w:val="center"/>
        <w:rPr>
          <w:rFonts w:ascii="黑体" w:eastAsia="黑体" w:hAnsi="黑体" w:cs="黑体"/>
          <w:bCs/>
          <w:sz w:val="32"/>
          <w:szCs w:val="32"/>
        </w:rPr>
      </w:pPr>
      <w:r>
        <w:rPr>
          <w:rFonts w:ascii="黑体" w:eastAsia="黑体" w:hAnsi="黑体" w:cs="黑体" w:hint="eastAsia"/>
          <w:bCs/>
          <w:sz w:val="32"/>
          <w:szCs w:val="32"/>
        </w:rPr>
        <w:lastRenderedPageBreak/>
        <w:t>创新创业服务平台信息</w:t>
      </w:r>
      <w:r w:rsidR="006F6384">
        <w:rPr>
          <w:rFonts w:ascii="黑体" w:eastAsia="黑体" w:hAnsi="黑体" w:cs="黑体" w:hint="eastAsia"/>
          <w:bCs/>
          <w:sz w:val="32"/>
          <w:szCs w:val="32"/>
        </w:rPr>
        <w:t>安全</w:t>
      </w:r>
      <w:r>
        <w:rPr>
          <w:rFonts w:ascii="黑体" w:eastAsia="黑体" w:hAnsi="黑体" w:cs="黑体" w:hint="eastAsia"/>
          <w:bCs/>
          <w:sz w:val="32"/>
          <w:szCs w:val="32"/>
        </w:rPr>
        <w:t>管理办法</w:t>
      </w:r>
    </w:p>
    <w:p w:rsidR="004B5D5B" w:rsidRDefault="003D4940">
      <w:pPr>
        <w:rPr>
          <w:rFonts w:ascii="黑体" w:eastAsia="黑体" w:hAnsi="黑体" w:cs="黑体"/>
          <w:b/>
          <w:sz w:val="21"/>
          <w:szCs w:val="21"/>
        </w:rPr>
      </w:pPr>
      <w:r>
        <w:rPr>
          <w:rFonts w:ascii="黑体" w:eastAsia="黑体" w:hAnsi="黑体" w:cs="黑体" w:hint="eastAsia"/>
          <w:sz w:val="21"/>
          <w:szCs w:val="21"/>
        </w:rPr>
        <w:t xml:space="preserve">1  </w:t>
      </w:r>
      <w:r>
        <w:rPr>
          <w:rFonts w:ascii="黑体" w:eastAsia="黑体" w:hAnsi="黑体" w:cs="黑体" w:hint="eastAsia"/>
          <w:b/>
          <w:sz w:val="21"/>
          <w:szCs w:val="21"/>
        </w:rPr>
        <w:t>目的</w:t>
      </w:r>
    </w:p>
    <w:p w:rsidR="009D4D4C" w:rsidRDefault="009D4D4C" w:rsidP="0038624A">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 xml:space="preserve">.1  </w:t>
      </w:r>
      <w:r w:rsidR="003D4940">
        <w:rPr>
          <w:rFonts w:ascii="宋体" w:eastAsia="宋体" w:hAnsi="宋体" w:hint="eastAsia"/>
          <w:sz w:val="21"/>
          <w:szCs w:val="21"/>
        </w:rPr>
        <w:t>为进一步规范创新创业服务平台的信息安全管理（以下简称“双创平台”或“平台”），结合实际，特制定本办法。</w:t>
      </w:r>
    </w:p>
    <w:p w:rsidR="004B5D5B" w:rsidRDefault="009D4D4C" w:rsidP="0038624A">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 xml:space="preserve">.2  </w:t>
      </w:r>
      <w:r>
        <w:rPr>
          <w:rFonts w:ascii="宋体" w:eastAsia="宋体" w:hAnsi="宋体" w:hint="eastAsia"/>
          <w:sz w:val="21"/>
          <w:szCs w:val="21"/>
        </w:rPr>
        <w:t>本办法中关于商品的相关</w:t>
      </w:r>
      <w:r w:rsidRPr="006C3284">
        <w:rPr>
          <w:rFonts w:ascii="宋体" w:eastAsia="宋体" w:hAnsi="宋体" w:hint="eastAsia"/>
          <w:sz w:val="21"/>
          <w:szCs w:val="21"/>
        </w:rPr>
        <w:t>规定适用于服务。</w:t>
      </w:r>
    </w:p>
    <w:p w:rsidR="004B5D5B" w:rsidRDefault="003D4940">
      <w:pPr>
        <w:spacing w:after="0" w:line="400" w:lineRule="exact"/>
        <w:rPr>
          <w:rFonts w:ascii="黑体" w:eastAsia="黑体" w:hAnsi="黑体" w:cs="黑体"/>
          <w:bCs/>
          <w:sz w:val="21"/>
          <w:szCs w:val="21"/>
        </w:rPr>
      </w:pPr>
      <w:r>
        <w:rPr>
          <w:rFonts w:ascii="黑体" w:eastAsia="黑体" w:hAnsi="黑体" w:cs="黑体" w:hint="eastAsia"/>
          <w:bCs/>
          <w:sz w:val="21"/>
          <w:szCs w:val="21"/>
        </w:rPr>
        <w:t>2  平台义务</w:t>
      </w:r>
    </w:p>
    <w:p w:rsidR="004B5D5B" w:rsidRDefault="003D4940">
      <w:pPr>
        <w:spacing w:after="0" w:line="400" w:lineRule="exact"/>
        <w:rPr>
          <w:rFonts w:ascii="黑体" w:eastAsia="黑体" w:hAnsi="黑体" w:cs="黑体"/>
          <w:sz w:val="21"/>
          <w:szCs w:val="21"/>
        </w:rPr>
      </w:pPr>
      <w:r>
        <w:rPr>
          <w:rFonts w:ascii="黑体" w:eastAsia="黑体" w:hAnsi="黑体" w:cs="黑体" w:hint="eastAsia"/>
          <w:sz w:val="21"/>
          <w:szCs w:val="21"/>
        </w:rPr>
        <w:t>2.1  信息公示义务</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双创平台依法履行信息公示义务，并为平台内经营者依法履行信息公示义务提供支持和便利。相关信息发生变更时，将在公示页面及时更新。</w:t>
      </w:r>
    </w:p>
    <w:p w:rsidR="004B5D5B" w:rsidRDefault="003D4940">
      <w:pPr>
        <w:spacing w:after="0" w:line="400" w:lineRule="exact"/>
        <w:rPr>
          <w:rFonts w:ascii="黑体" w:eastAsia="黑体" w:hAnsi="黑体" w:cs="黑体"/>
          <w:sz w:val="21"/>
          <w:szCs w:val="21"/>
        </w:rPr>
      </w:pPr>
      <w:r>
        <w:rPr>
          <w:rFonts w:ascii="黑体" w:eastAsia="黑体" w:hAnsi="黑体" w:cs="黑体" w:hint="eastAsia"/>
          <w:sz w:val="21"/>
          <w:szCs w:val="21"/>
        </w:rPr>
        <w:t>2.2  信息公示内容</w:t>
      </w:r>
    </w:p>
    <w:p w:rsidR="004B5D5B" w:rsidRDefault="003D4940">
      <w:pPr>
        <w:spacing w:after="0" w:line="400" w:lineRule="exact"/>
        <w:rPr>
          <w:rFonts w:ascii="宋体" w:eastAsia="宋体" w:hAnsi="宋体" w:cs="宋体"/>
          <w:sz w:val="21"/>
          <w:szCs w:val="21"/>
        </w:rPr>
      </w:pPr>
      <w:r>
        <w:rPr>
          <w:rFonts w:ascii="黑体" w:eastAsia="黑体" w:hAnsi="黑体" w:cs="黑体" w:hint="eastAsia"/>
          <w:sz w:val="21"/>
          <w:szCs w:val="21"/>
        </w:rPr>
        <w:t xml:space="preserve">2.2.1  </w:t>
      </w:r>
      <w:r>
        <w:rPr>
          <w:rFonts w:ascii="宋体" w:eastAsia="宋体" w:hAnsi="宋体" w:cs="宋体" w:hint="eastAsia"/>
          <w:sz w:val="21"/>
          <w:szCs w:val="21"/>
        </w:rPr>
        <w:t>双创平台在其首页显著位置持续公示以下信息或链接标识：</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（1）营业执照与其经营许可有关的营业信息；</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（2）平台服务协议和交易规则信息；</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（3）法律规定其他应公示的信息。 </w:t>
      </w:r>
    </w:p>
    <w:p w:rsidR="004B5D5B" w:rsidRDefault="003D4940">
      <w:pPr>
        <w:spacing w:after="0" w:line="400" w:lineRule="exact"/>
        <w:ind w:firstLineChars="200" w:firstLine="420"/>
        <w:rPr>
          <w:rFonts w:ascii="宋体" w:eastAsia="宋体" w:hAnsi="宋体"/>
          <w:sz w:val="21"/>
          <w:szCs w:val="21"/>
        </w:rPr>
      </w:pPr>
      <w:r>
        <w:rPr>
          <w:rFonts w:ascii="宋体" w:eastAsia="宋体" w:hAnsi="宋体" w:cs="宋体" w:hint="eastAsia"/>
          <w:sz w:val="21"/>
          <w:szCs w:val="21"/>
        </w:rPr>
        <w:t>双创平台拟终止提供平台服务，将至少提前三个月予以公示并通知相关经营者和消费者。</w:t>
      </w:r>
    </w:p>
    <w:p w:rsidR="004B5D5B" w:rsidRDefault="003D4940">
      <w:pPr>
        <w:spacing w:after="0" w:line="400" w:lineRule="exact"/>
        <w:rPr>
          <w:rFonts w:ascii="宋体" w:eastAsia="宋体" w:hAnsi="宋体" w:cs="宋体"/>
          <w:sz w:val="21"/>
          <w:szCs w:val="21"/>
        </w:rPr>
      </w:pPr>
      <w:r>
        <w:rPr>
          <w:rFonts w:ascii="黑体" w:eastAsia="黑体" w:hAnsi="黑体" w:cs="黑体" w:hint="eastAsia"/>
          <w:sz w:val="21"/>
          <w:szCs w:val="21"/>
        </w:rPr>
        <w:t xml:space="preserve">2.2.2 </w:t>
      </w:r>
      <w:r>
        <w:rPr>
          <w:rFonts w:ascii="宋体" w:eastAsia="宋体" w:hAnsi="宋体" w:cs="宋体" w:hint="eastAsia"/>
          <w:sz w:val="21"/>
          <w:szCs w:val="21"/>
        </w:rPr>
        <w:t xml:space="preserve"> 双创平台还需公示以下信息：</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（1）经营者入驻管理制度；</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（2）依据平台服务协议和交易规则对平台内经营者违反法律、法规的行为实施警示、暂停或者终止服务等措施和结果；</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（3）知识产权权利人发出的知识产权侵害通知、平台内经营者提交的不存在侵权行为的声明、相关处理结果等。</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双创平台组织网络集中促销，需事先公示网络集中促销的期限、方式和规则等信息。</w:t>
      </w:r>
    </w:p>
    <w:p w:rsidR="004B5D5B" w:rsidRDefault="003D4940">
      <w:pPr>
        <w:spacing w:after="0" w:line="400" w:lineRule="exact"/>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sz w:val="21"/>
          <w:szCs w:val="21"/>
        </w:rPr>
        <w:t xml:space="preserve">.3  </w:t>
      </w:r>
      <w:r>
        <w:rPr>
          <w:rFonts w:ascii="宋体" w:eastAsia="宋体" w:hAnsi="宋体" w:cs="宋体" w:hint="eastAsia"/>
          <w:sz w:val="21"/>
          <w:szCs w:val="21"/>
        </w:rPr>
        <w:t>双创平台应全面、真实、准确、及时地披露商品信息，根据商品价格、销量、信用等以多种方式向消费者显示商品搜索结果；对于竞价排名的商品，应当显著标明“广告”。</w:t>
      </w:r>
    </w:p>
    <w:p w:rsidR="004B5D5B" w:rsidRDefault="003D4940">
      <w:pPr>
        <w:spacing w:after="0" w:line="400" w:lineRule="exact"/>
        <w:rPr>
          <w:rFonts w:ascii="黑体" w:eastAsia="黑体" w:hAnsi="黑体" w:cs="黑体"/>
          <w:bCs/>
          <w:sz w:val="21"/>
          <w:szCs w:val="21"/>
        </w:rPr>
      </w:pPr>
      <w:r>
        <w:rPr>
          <w:rFonts w:ascii="黑体" w:eastAsia="黑体" w:hAnsi="黑体" w:cs="黑体" w:hint="eastAsia"/>
          <w:bCs/>
          <w:sz w:val="21"/>
          <w:szCs w:val="21"/>
        </w:rPr>
        <w:t>3  平台内经营者义务</w:t>
      </w:r>
    </w:p>
    <w:p w:rsidR="004B5D5B" w:rsidRDefault="003D4940">
      <w:pPr>
        <w:spacing w:after="0" w:line="400" w:lineRule="exact"/>
        <w:rPr>
          <w:rFonts w:ascii="黑体" w:eastAsia="黑体" w:hAnsi="黑体" w:cs="黑体"/>
          <w:sz w:val="21"/>
          <w:szCs w:val="21"/>
        </w:rPr>
      </w:pPr>
      <w:r>
        <w:rPr>
          <w:rFonts w:ascii="黑体" w:eastAsia="黑体" w:hAnsi="黑体" w:cs="黑体" w:hint="eastAsia"/>
          <w:sz w:val="21"/>
          <w:szCs w:val="21"/>
        </w:rPr>
        <w:t>3.1  信息公示义务</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双创平台内经营者需履行以下信息公示义务：</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t>（1）在其首页显著位置，持续公示营业执照信息、与其经营业务有关的行政许可信息或者上述信息的链接标识；不需要办理市场主体登记的，应当在其网站首页或者从事经营活动的主页面显著位置，持续公示其属于依法无需办理市场主体登记的具体情形的自我声明，以及经营地址、联系方式等信息，或 者上述信息的链接标识；</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（2）用户信息查询、更正、删除以及用户注销的方式、程序；</w:t>
      </w:r>
    </w:p>
    <w:p w:rsidR="004B5D5B" w:rsidRDefault="003D4940">
      <w:pPr>
        <w:spacing w:after="0" w:line="400" w:lineRule="exact"/>
        <w:rPr>
          <w:rFonts w:ascii="宋体" w:eastAsia="宋体" w:hAnsi="宋体" w:cs="宋体"/>
          <w:sz w:val="21"/>
          <w:szCs w:val="21"/>
        </w:rPr>
      </w:pPr>
      <w:r>
        <w:rPr>
          <w:rFonts w:ascii="宋体" w:eastAsia="宋体" w:hAnsi="宋体" w:cs="宋体" w:hint="eastAsia"/>
          <w:sz w:val="21"/>
          <w:szCs w:val="21"/>
        </w:rPr>
        <w:t>（3）平台内经营者自行终止从事电子商务的，应当提前三十日在首页显著位置持续公示有关信息。</w:t>
      </w:r>
    </w:p>
    <w:p w:rsidR="004B5D5B" w:rsidRDefault="003D4940">
      <w:pPr>
        <w:spacing w:after="0" w:line="400" w:lineRule="exact"/>
        <w:rPr>
          <w:rFonts w:ascii="黑体" w:eastAsia="黑体" w:hAnsi="黑体" w:cs="黑体"/>
          <w:sz w:val="21"/>
          <w:szCs w:val="21"/>
        </w:rPr>
      </w:pPr>
      <w:r>
        <w:rPr>
          <w:rFonts w:ascii="黑体" w:eastAsia="黑体" w:hAnsi="黑体" w:cs="黑体" w:hint="eastAsia"/>
          <w:sz w:val="21"/>
          <w:szCs w:val="21"/>
        </w:rPr>
        <w:t>3.2  商品信息要求</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sz w:val="21"/>
          <w:szCs w:val="21"/>
        </w:rPr>
        <w:t>双创平台入驻的经营者需全面、真实、准确、及时地披露商品信息，并注意下列要求：</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sz w:val="21"/>
          <w:szCs w:val="21"/>
        </w:rPr>
        <w:t>（1）商品或其包装上应当注明采用的质量标准，标识说明、实物样品等方式表明的质量状况，应当与实际保持一致；</w:t>
      </w:r>
    </w:p>
    <w:p w:rsidR="006F6384" w:rsidRDefault="006F6384">
      <w:pPr>
        <w:spacing w:after="0" w:line="400" w:lineRule="exact"/>
        <w:ind w:firstLineChars="200" w:firstLine="42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销售的商品存在使用性能的瑕疵但不违反法律强制性规定的，在该商品展示页面表明“处理品”、“残次品”、“等外品”等，避免消费者产生误解；</w:t>
      </w:r>
    </w:p>
    <w:p w:rsidR="004B5D5B" w:rsidRDefault="003D4940">
      <w:pPr>
        <w:spacing w:after="0" w:line="400" w:lineRule="exact"/>
        <w:ind w:firstLineChars="200" w:firstLine="420"/>
        <w:rPr>
          <w:rFonts w:ascii="宋体" w:eastAsia="宋体" w:hAnsi="宋体" w:cs="宋体"/>
          <w:sz w:val="21"/>
          <w:szCs w:val="21"/>
        </w:rPr>
      </w:pPr>
      <w:r>
        <w:rPr>
          <w:rFonts w:ascii="宋体" w:eastAsia="宋体" w:hAnsi="宋体" w:cs="宋体"/>
          <w:sz w:val="21"/>
          <w:szCs w:val="21"/>
        </w:rPr>
        <w:t>（</w:t>
      </w:r>
      <w:r w:rsidR="006F6384">
        <w:rPr>
          <w:rFonts w:ascii="宋体" w:eastAsia="宋体" w:hAnsi="宋体" w:cs="宋体"/>
          <w:sz w:val="21"/>
          <w:szCs w:val="21"/>
        </w:rPr>
        <w:t>3</w:t>
      </w:r>
      <w:r>
        <w:rPr>
          <w:rFonts w:ascii="宋体" w:eastAsia="宋体" w:hAnsi="宋体" w:cs="宋体"/>
          <w:sz w:val="21"/>
          <w:szCs w:val="21"/>
        </w:rPr>
        <w:t>）不得以虚构交易、编造用户评价等方式进行虚假或者引人误解的商业宣传，欺骗、误导消费者。</w:t>
      </w:r>
    </w:p>
    <w:p w:rsidR="004B5D5B" w:rsidRDefault="003D4940">
      <w:pPr>
        <w:spacing w:after="0" w:line="400" w:lineRule="exact"/>
        <w:rPr>
          <w:rFonts w:ascii="黑体" w:eastAsia="黑体" w:hAnsi="黑体" w:cs="黑体"/>
          <w:sz w:val="21"/>
          <w:szCs w:val="21"/>
        </w:rPr>
      </w:pPr>
      <w:r>
        <w:rPr>
          <w:rFonts w:ascii="黑体" w:eastAsia="黑体" w:hAnsi="黑体" w:cs="黑体" w:hint="eastAsia"/>
          <w:sz w:val="21"/>
          <w:szCs w:val="21"/>
        </w:rPr>
        <w:t>4  平台审查</w:t>
      </w:r>
    </w:p>
    <w:p w:rsidR="004B5D5B" w:rsidRDefault="003D4940">
      <w:pPr>
        <w:spacing w:after="0" w:line="400" w:lineRule="exact"/>
        <w:rPr>
          <w:rFonts w:ascii="宋体" w:eastAsia="宋体" w:hAnsi="宋体"/>
          <w:sz w:val="21"/>
          <w:szCs w:val="21"/>
        </w:rPr>
      </w:pPr>
      <w:r>
        <w:rPr>
          <w:rFonts w:ascii="黑体" w:eastAsia="黑体" w:hAnsi="黑体" w:cs="黑体" w:hint="eastAsia"/>
          <w:sz w:val="21"/>
          <w:szCs w:val="21"/>
        </w:rPr>
        <w:t xml:space="preserve">4.1  </w:t>
      </w:r>
      <w:r>
        <w:rPr>
          <w:rFonts w:ascii="宋体" w:eastAsia="宋体" w:hAnsi="宋体"/>
          <w:sz w:val="21"/>
          <w:szCs w:val="21"/>
        </w:rPr>
        <w:t>对于平台内经营者采用“首页推介”、“直通车”等经过平台竞价方式发布的商品信息，双创平台加强审查，针对违法信息，及时采取必要措施。</w:t>
      </w:r>
    </w:p>
    <w:p w:rsidR="004B5D5B" w:rsidRDefault="003D4940">
      <w:pPr>
        <w:spacing w:after="0" w:line="400" w:lineRule="exact"/>
        <w:rPr>
          <w:rFonts w:ascii="宋体" w:eastAsia="宋体" w:hAnsi="宋体"/>
          <w:sz w:val="21"/>
          <w:szCs w:val="21"/>
        </w:rPr>
      </w:pPr>
      <w:r>
        <w:rPr>
          <w:rFonts w:ascii="黑体" w:eastAsia="黑体" w:hAnsi="黑体" w:cs="黑体" w:hint="eastAsia"/>
          <w:sz w:val="21"/>
          <w:szCs w:val="21"/>
        </w:rPr>
        <w:t xml:space="preserve">4.2  </w:t>
      </w:r>
      <w:r>
        <w:rPr>
          <w:rFonts w:ascii="宋体" w:eastAsia="宋体" w:hAnsi="宋体" w:hint="eastAsia"/>
          <w:sz w:val="21"/>
          <w:szCs w:val="21"/>
        </w:rPr>
        <w:t>平台对进入平台销售商品的经营者及其发布的商品信息建立检查监控制度，发现平台内经营者及其销售的商品有违反市场监督管理法律、法规、规章的行为的，将依法采取必要的处置措施，并保存有关信息记录；依法应报告的，将及时向有关主管部门报告。</w:t>
      </w:r>
    </w:p>
    <w:p w:rsidR="004B5D5B" w:rsidRDefault="003D4940">
      <w:pPr>
        <w:spacing w:after="0" w:line="400" w:lineRule="exact"/>
        <w:rPr>
          <w:rFonts w:ascii="宋体" w:eastAsia="宋体" w:hAnsi="宋体"/>
          <w:sz w:val="21"/>
          <w:szCs w:val="21"/>
        </w:rPr>
      </w:pPr>
      <w:r>
        <w:rPr>
          <w:rFonts w:ascii="黑体" w:eastAsia="黑体" w:hAnsi="黑体" w:cs="黑体" w:hint="eastAsia"/>
          <w:sz w:val="21"/>
          <w:szCs w:val="21"/>
        </w:rPr>
        <w:t xml:space="preserve">4.3  </w:t>
      </w:r>
      <w:r>
        <w:rPr>
          <w:rFonts w:ascii="宋体" w:eastAsia="宋体" w:hAnsi="宋体" w:hint="eastAsia"/>
          <w:sz w:val="21"/>
          <w:szCs w:val="21"/>
        </w:rPr>
        <w:t>平台记录、保存平台上发布的商品和服务信息、交易信息，确保信息的完整性、保密性、可用性。商品和服务信息、交易信息保存时间自交易完成之日起不少于三年。</w:t>
      </w:r>
    </w:p>
    <w:p w:rsidR="004B5D5B" w:rsidRDefault="003D4940">
      <w:pPr>
        <w:spacing w:after="0" w:line="400" w:lineRule="exact"/>
        <w:rPr>
          <w:rFonts w:ascii="黑体" w:eastAsia="黑体" w:hAnsi="黑体" w:cs="黑体"/>
          <w:sz w:val="21"/>
          <w:szCs w:val="21"/>
        </w:rPr>
      </w:pPr>
      <w:r>
        <w:rPr>
          <w:rFonts w:ascii="黑体" w:eastAsia="黑体" w:hAnsi="黑体" w:cs="黑体" w:hint="eastAsia"/>
          <w:sz w:val="21"/>
          <w:szCs w:val="21"/>
        </w:rPr>
        <w:t>5  安全管理</w:t>
      </w:r>
    </w:p>
    <w:p w:rsidR="004B5D5B" w:rsidRDefault="003D4940">
      <w:pPr>
        <w:spacing w:after="0" w:line="400" w:lineRule="exact"/>
        <w:rPr>
          <w:rFonts w:ascii="黑体" w:eastAsia="黑体" w:hAnsi="黑体" w:cs="黑体"/>
          <w:bCs/>
          <w:sz w:val="21"/>
          <w:szCs w:val="21"/>
        </w:rPr>
      </w:pPr>
      <w:r>
        <w:rPr>
          <w:rFonts w:ascii="宋体" w:eastAsia="宋体" w:hAnsi="宋体"/>
          <w:sz w:val="21"/>
          <w:szCs w:val="21"/>
        </w:rPr>
        <w:t xml:space="preserve">    双创平台采取相关技术措施和其他必要措施保证网络安全</w:t>
      </w:r>
      <w:r>
        <w:rPr>
          <w:rFonts w:ascii="宋体" w:eastAsia="宋体" w:hAnsi="宋体" w:hint="eastAsia"/>
          <w:sz w:val="21"/>
          <w:szCs w:val="21"/>
        </w:rPr>
        <w:t>、</w:t>
      </w:r>
      <w:r>
        <w:rPr>
          <w:rFonts w:ascii="宋体" w:eastAsia="宋体" w:hAnsi="宋体"/>
          <w:sz w:val="21"/>
          <w:szCs w:val="21"/>
        </w:rPr>
        <w:t>稳定运行</w:t>
      </w:r>
      <w:r>
        <w:rPr>
          <w:rFonts w:ascii="宋体" w:eastAsia="宋体" w:hAnsi="宋体" w:hint="eastAsia"/>
          <w:sz w:val="21"/>
          <w:szCs w:val="21"/>
        </w:rPr>
        <w:t>，</w:t>
      </w:r>
      <w:r>
        <w:rPr>
          <w:rFonts w:ascii="宋体" w:eastAsia="宋体" w:hAnsi="宋体"/>
          <w:sz w:val="21"/>
          <w:szCs w:val="21"/>
        </w:rPr>
        <w:t>防范网络违法犯罪活动</w:t>
      </w:r>
      <w:r>
        <w:rPr>
          <w:rFonts w:ascii="宋体" w:eastAsia="宋体" w:hAnsi="宋体" w:hint="eastAsia"/>
          <w:sz w:val="21"/>
          <w:szCs w:val="21"/>
        </w:rPr>
        <w:t>，</w:t>
      </w:r>
      <w:r>
        <w:rPr>
          <w:rFonts w:ascii="宋体" w:eastAsia="宋体" w:hAnsi="宋体"/>
          <w:sz w:val="21"/>
          <w:szCs w:val="21"/>
        </w:rPr>
        <w:t>有效应对网络安全事件</w:t>
      </w:r>
      <w:r>
        <w:rPr>
          <w:rFonts w:ascii="宋体" w:eastAsia="宋体" w:hAnsi="宋体" w:hint="eastAsia"/>
          <w:sz w:val="21"/>
          <w:szCs w:val="21"/>
        </w:rPr>
        <w:t>，</w:t>
      </w:r>
      <w:r>
        <w:rPr>
          <w:rFonts w:ascii="宋体" w:eastAsia="宋体" w:hAnsi="宋体"/>
          <w:sz w:val="21"/>
          <w:szCs w:val="21"/>
        </w:rPr>
        <w:t>保障交易安全</w:t>
      </w:r>
      <w:r>
        <w:rPr>
          <w:rFonts w:ascii="宋体" w:eastAsia="宋体" w:hAnsi="宋体" w:hint="eastAsia"/>
          <w:sz w:val="21"/>
          <w:szCs w:val="21"/>
        </w:rPr>
        <w:t>。</w:t>
      </w:r>
    </w:p>
    <w:p w:rsidR="004B5D5B" w:rsidRDefault="003D4940">
      <w:pPr>
        <w:spacing w:after="0" w:line="400" w:lineRule="exact"/>
        <w:rPr>
          <w:rFonts w:ascii="黑体" w:eastAsia="黑体" w:hAnsi="黑体" w:cs="黑体"/>
          <w:bCs/>
          <w:sz w:val="21"/>
          <w:szCs w:val="21"/>
        </w:rPr>
      </w:pPr>
      <w:r>
        <w:rPr>
          <w:rFonts w:ascii="黑体" w:eastAsia="黑体" w:hAnsi="黑体" w:cs="黑体" w:hint="eastAsia"/>
          <w:bCs/>
          <w:sz w:val="21"/>
          <w:szCs w:val="21"/>
        </w:rPr>
        <w:t>6</w:t>
      </w:r>
      <w:r>
        <w:rPr>
          <w:rFonts w:ascii="黑体" w:eastAsia="黑体" w:hAnsi="黑体" w:cs="黑体"/>
          <w:bCs/>
          <w:sz w:val="21"/>
          <w:szCs w:val="21"/>
        </w:rPr>
        <w:t xml:space="preserve">  </w:t>
      </w:r>
      <w:r>
        <w:rPr>
          <w:rFonts w:ascii="黑体" w:eastAsia="黑体" w:hAnsi="黑体" w:cs="黑体" w:hint="eastAsia"/>
          <w:bCs/>
          <w:sz w:val="21"/>
          <w:szCs w:val="21"/>
        </w:rPr>
        <w:t>其他</w:t>
      </w:r>
    </w:p>
    <w:p w:rsidR="004B5D5B" w:rsidRDefault="003D4940">
      <w:pPr>
        <w:spacing w:after="0" w:line="400" w:lineRule="exact"/>
        <w:rPr>
          <w:rFonts w:ascii="宋体" w:eastAsia="宋体" w:hAnsi="宋体"/>
          <w:sz w:val="21"/>
          <w:szCs w:val="21"/>
        </w:rPr>
      </w:pPr>
      <w:r>
        <w:rPr>
          <w:rFonts w:ascii="黑体" w:eastAsia="黑体" w:hAnsi="黑体" w:cs="黑体"/>
          <w:sz w:val="21"/>
          <w:szCs w:val="21"/>
        </w:rPr>
        <w:t>6</w:t>
      </w:r>
      <w:r>
        <w:rPr>
          <w:rFonts w:ascii="黑体" w:eastAsia="黑体" w:hAnsi="黑体" w:cs="黑体" w:hint="eastAsia"/>
          <w:sz w:val="21"/>
          <w:szCs w:val="21"/>
        </w:rPr>
        <w:t xml:space="preserve">.1  </w:t>
      </w:r>
      <w:r>
        <w:rPr>
          <w:rFonts w:ascii="宋体" w:eastAsia="宋体" w:hAnsi="宋体" w:hint="eastAsia"/>
          <w:sz w:val="21"/>
          <w:szCs w:val="21"/>
        </w:rPr>
        <w:t>平台含义广泛，还包括平台附属的微信公众号、客服热线、APP（含信息对接端口）等。</w:t>
      </w:r>
    </w:p>
    <w:p w:rsidR="004B5D5B" w:rsidRDefault="003D4940">
      <w:pPr>
        <w:spacing w:after="0" w:line="400" w:lineRule="exact"/>
        <w:rPr>
          <w:rFonts w:ascii="宋体" w:eastAsia="宋体" w:hAnsi="宋体"/>
          <w:sz w:val="21"/>
          <w:szCs w:val="21"/>
        </w:rPr>
      </w:pPr>
      <w:r>
        <w:rPr>
          <w:rFonts w:ascii="黑体" w:eastAsia="黑体" w:hAnsi="黑体" w:cs="黑体"/>
          <w:sz w:val="21"/>
          <w:szCs w:val="21"/>
        </w:rPr>
        <w:t>6</w:t>
      </w:r>
      <w:r>
        <w:rPr>
          <w:rFonts w:ascii="黑体" w:eastAsia="黑体" w:hAnsi="黑体" w:cs="黑体" w:hint="eastAsia"/>
          <w:sz w:val="21"/>
          <w:szCs w:val="21"/>
        </w:rPr>
        <w:t xml:space="preserve">.2  </w:t>
      </w:r>
      <w:r>
        <w:rPr>
          <w:rFonts w:ascii="宋体" w:eastAsia="宋体" w:hAnsi="宋体" w:hint="eastAsia"/>
          <w:sz w:val="21"/>
          <w:szCs w:val="21"/>
        </w:rPr>
        <w:t>平台管理员应严格遵守国家、地方相关网络管理规范，严禁淫秽色情、暴力恐怖、谣言诈骗、传销赌博等违法违规信息在平台内传播扩散。所有信息发布内容必须经审核后方可浏览。</w:t>
      </w:r>
    </w:p>
    <w:p w:rsidR="004B5D5B" w:rsidRDefault="003D4940" w:rsidP="00E825D9">
      <w:pPr>
        <w:spacing w:after="0" w:line="400" w:lineRule="exact"/>
        <w:rPr>
          <w:rFonts w:ascii="宋体" w:eastAsia="宋体" w:hAnsi="宋体"/>
          <w:sz w:val="21"/>
          <w:szCs w:val="21"/>
        </w:rPr>
      </w:pPr>
      <w:r>
        <w:rPr>
          <w:rFonts w:ascii="黑体" w:eastAsia="黑体" w:hAnsi="黑体" w:cs="黑体"/>
          <w:sz w:val="21"/>
          <w:szCs w:val="21"/>
        </w:rPr>
        <w:t>6</w:t>
      </w:r>
      <w:r>
        <w:rPr>
          <w:rFonts w:ascii="黑体" w:eastAsia="黑体" w:hAnsi="黑体" w:cs="黑体" w:hint="eastAsia"/>
          <w:sz w:val="21"/>
          <w:szCs w:val="21"/>
        </w:rPr>
        <w:t xml:space="preserve">.3  </w:t>
      </w:r>
      <w:r>
        <w:rPr>
          <w:rFonts w:ascii="宋体" w:eastAsia="宋体" w:hAnsi="宋体" w:hint="eastAsia"/>
          <w:sz w:val="21"/>
          <w:szCs w:val="21"/>
        </w:rPr>
        <w:t>本办法由创新创业服务平台负责解释。</w:t>
      </w:r>
    </w:p>
    <w:sectPr w:rsidR="004B5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15" w:rsidRDefault="00132815">
      <w:pPr>
        <w:spacing w:after="0"/>
      </w:pPr>
      <w:r>
        <w:separator/>
      </w:r>
    </w:p>
  </w:endnote>
  <w:endnote w:type="continuationSeparator" w:id="0">
    <w:p w:rsidR="00132815" w:rsidRDefault="00132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5B" w:rsidRDefault="003D4940">
    <w:pPr>
      <w:pStyle w:val="a5"/>
      <w:framePr w:wrap="around" w:vAnchor="text" w:hAnchor="margin" w:xAlign="right" w:y="1"/>
      <w:rPr>
        <w:rStyle w:val="a8"/>
      </w:rPr>
    </w:pPr>
    <w:r>
      <w:fldChar w:fldCharType="begin"/>
    </w:r>
    <w:r>
      <w:rPr>
        <w:rStyle w:val="a8"/>
      </w:rPr>
      <w:instrText xml:space="preserve">PAGE  </w:instrText>
    </w:r>
    <w:r>
      <w:fldChar w:fldCharType="end"/>
    </w:r>
  </w:p>
  <w:p w:rsidR="004B5D5B" w:rsidRDefault="004B5D5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5B" w:rsidRDefault="003D4940">
    <w:pPr>
      <w:pStyle w:val="ad"/>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4B5D5B" w:rsidRDefault="003D4940">
                          <w:pPr>
                            <w:pStyle w:val="ad"/>
                          </w:pPr>
                          <w:r>
                            <w:fldChar w:fldCharType="begin"/>
                          </w:r>
                          <w:r>
                            <w:instrText xml:space="preserve"> PAGE  \* MERGEFORMAT </w:instrText>
                          </w:r>
                          <w:r>
                            <w:fldChar w:fldCharType="separate"/>
                          </w:r>
                          <w:r w:rsidR="008F0D83">
                            <w:rPr>
                              <w:noProof/>
                            </w:rPr>
                            <w:t>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YKKFGb0BAABVAwAADgAAAAAAAAAAAAAAAAAuAgAAZHJzL2Uy&#10;b0RvYy54bWxQSwECLQAUAAYACAAAACEAqooLHNgAAAAFAQAADwAAAAAAAAAAAAAAAAAXBAAAZHJz&#10;L2Rvd25yZXYueG1sUEsFBgAAAAAEAAQA8wAAABwFAAAAAA==&#10;" filled="f" stroked="f" strokeweight="1.25pt">
              <v:textbox style="mso-fit-shape-to-text:t" inset="0,0,0,0">
                <w:txbxContent>
                  <w:p w:rsidR="004B5D5B" w:rsidRDefault="003D4940">
                    <w:pPr>
                      <w:pStyle w:val="ad"/>
                    </w:pPr>
                    <w:r>
                      <w:fldChar w:fldCharType="begin"/>
                    </w:r>
                    <w:r>
                      <w:instrText xml:space="preserve"> PAGE  \* MERGEFORMAT </w:instrText>
                    </w:r>
                    <w:r>
                      <w:fldChar w:fldCharType="separate"/>
                    </w:r>
                    <w:r w:rsidR="008F0D83">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15" w:rsidRDefault="00132815">
      <w:pPr>
        <w:spacing w:after="0"/>
      </w:pPr>
      <w:r>
        <w:separator/>
      </w:r>
    </w:p>
  </w:footnote>
  <w:footnote w:type="continuationSeparator" w:id="0">
    <w:p w:rsidR="00132815" w:rsidRDefault="001328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5B" w:rsidRDefault="004B5D5B">
    <w:pPr>
      <w:pStyle w:val="a6"/>
      <w:pBdr>
        <w:bottom w:val="none" w:sz="0" w:space="0" w:color="auto"/>
      </w:pBdr>
      <w:jc w:val="right"/>
      <w:rPr>
        <w:rFonts w:ascii="黑体" w:eastAsia="黑体"/>
        <w: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5B" w:rsidRDefault="003D4940">
    <w:pPr>
      <w:jc w:val="right"/>
      <w:rPr>
        <w:rFonts w:ascii="黑体" w:eastAsia="黑体"/>
        <w:spacing w:val="20"/>
        <w:szCs w:val="21"/>
      </w:rPr>
    </w:pPr>
    <w:r>
      <w:rPr>
        <w:rFonts w:ascii="黑体" w:eastAsia="黑体" w:hint="eastAsia"/>
        <w:spacing w:val="20"/>
        <w:szCs w:val="21"/>
      </w:rPr>
      <w:t>Q/CZ</w:t>
    </w:r>
    <w:r>
      <w:rPr>
        <w:rFonts w:ascii="黑体" w:eastAsia="黑体"/>
        <w:spacing w:val="20"/>
        <w:szCs w:val="21"/>
      </w:rPr>
      <w:t>SC</w:t>
    </w:r>
    <w:r>
      <w:rPr>
        <w:rFonts w:ascii="黑体" w:eastAsia="黑体" w:hint="eastAsia"/>
        <w:spacing w:val="20"/>
        <w:szCs w:val="21"/>
      </w:rPr>
      <w:t xml:space="preserve"> TG301-</w:t>
    </w:r>
    <w:r>
      <w:t xml:space="preserve"> </w:t>
    </w:r>
    <w:r>
      <w:rPr>
        <w:rFonts w:ascii="黑体" w:eastAsia="黑体"/>
        <w:spacing w:val="20"/>
        <w:szCs w:val="21"/>
      </w:rPr>
      <w:t>5-2020</w:t>
    </w:r>
  </w:p>
  <w:p w:rsidR="004B5D5B" w:rsidRDefault="004B5D5B">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86"/>
    <w:rsid w:val="00002645"/>
    <w:rsid w:val="000212CE"/>
    <w:rsid w:val="00037E52"/>
    <w:rsid w:val="00045260"/>
    <w:rsid w:val="00062016"/>
    <w:rsid w:val="00067E3D"/>
    <w:rsid w:val="000B374E"/>
    <w:rsid w:val="000D3295"/>
    <w:rsid w:val="00100CDB"/>
    <w:rsid w:val="00127125"/>
    <w:rsid w:val="00127F85"/>
    <w:rsid w:val="00132815"/>
    <w:rsid w:val="001854B4"/>
    <w:rsid w:val="00203968"/>
    <w:rsid w:val="00206B3C"/>
    <w:rsid w:val="002220A7"/>
    <w:rsid w:val="0023421F"/>
    <w:rsid w:val="002579C6"/>
    <w:rsid w:val="0027667E"/>
    <w:rsid w:val="00293A5D"/>
    <w:rsid w:val="002A12A2"/>
    <w:rsid w:val="002A39A8"/>
    <w:rsid w:val="002B5529"/>
    <w:rsid w:val="002B5D0C"/>
    <w:rsid w:val="002F5875"/>
    <w:rsid w:val="002F64FE"/>
    <w:rsid w:val="003352F4"/>
    <w:rsid w:val="00335D9A"/>
    <w:rsid w:val="00353E87"/>
    <w:rsid w:val="0038624A"/>
    <w:rsid w:val="003A7A86"/>
    <w:rsid w:val="003D4940"/>
    <w:rsid w:val="003D5B4C"/>
    <w:rsid w:val="00401A27"/>
    <w:rsid w:val="00454EBF"/>
    <w:rsid w:val="00464356"/>
    <w:rsid w:val="004669B9"/>
    <w:rsid w:val="004B5D5B"/>
    <w:rsid w:val="004D1249"/>
    <w:rsid w:val="00512273"/>
    <w:rsid w:val="00521005"/>
    <w:rsid w:val="00556991"/>
    <w:rsid w:val="00570455"/>
    <w:rsid w:val="005A5338"/>
    <w:rsid w:val="005E6411"/>
    <w:rsid w:val="005F2DD7"/>
    <w:rsid w:val="005F59D0"/>
    <w:rsid w:val="0060573E"/>
    <w:rsid w:val="00662F27"/>
    <w:rsid w:val="006D50AD"/>
    <w:rsid w:val="006F6384"/>
    <w:rsid w:val="007113EE"/>
    <w:rsid w:val="00723736"/>
    <w:rsid w:val="00742069"/>
    <w:rsid w:val="00771307"/>
    <w:rsid w:val="00776406"/>
    <w:rsid w:val="00795436"/>
    <w:rsid w:val="007B2A53"/>
    <w:rsid w:val="007B2DA3"/>
    <w:rsid w:val="007B760B"/>
    <w:rsid w:val="007C2582"/>
    <w:rsid w:val="007C431F"/>
    <w:rsid w:val="007E5B47"/>
    <w:rsid w:val="007E71F4"/>
    <w:rsid w:val="00817C12"/>
    <w:rsid w:val="0082411C"/>
    <w:rsid w:val="00887D84"/>
    <w:rsid w:val="00893490"/>
    <w:rsid w:val="008978E1"/>
    <w:rsid w:val="008B5AC0"/>
    <w:rsid w:val="008C5261"/>
    <w:rsid w:val="008F0D83"/>
    <w:rsid w:val="008F53BA"/>
    <w:rsid w:val="008F670D"/>
    <w:rsid w:val="009065E9"/>
    <w:rsid w:val="009259D5"/>
    <w:rsid w:val="00930FED"/>
    <w:rsid w:val="00954B83"/>
    <w:rsid w:val="00981AFF"/>
    <w:rsid w:val="00985837"/>
    <w:rsid w:val="0099040C"/>
    <w:rsid w:val="009B2EED"/>
    <w:rsid w:val="009D0F7C"/>
    <w:rsid w:val="009D2FB8"/>
    <w:rsid w:val="009D4D4C"/>
    <w:rsid w:val="009E2E1C"/>
    <w:rsid w:val="009E5155"/>
    <w:rsid w:val="00A24F88"/>
    <w:rsid w:val="00A61739"/>
    <w:rsid w:val="00AD4DCB"/>
    <w:rsid w:val="00B0000A"/>
    <w:rsid w:val="00B1234B"/>
    <w:rsid w:val="00B236FB"/>
    <w:rsid w:val="00BD0E35"/>
    <w:rsid w:val="00BE4F85"/>
    <w:rsid w:val="00BE5893"/>
    <w:rsid w:val="00BF5749"/>
    <w:rsid w:val="00C32491"/>
    <w:rsid w:val="00C534F5"/>
    <w:rsid w:val="00C61EF5"/>
    <w:rsid w:val="00C756F6"/>
    <w:rsid w:val="00CA7D36"/>
    <w:rsid w:val="00CB0051"/>
    <w:rsid w:val="00CD56FA"/>
    <w:rsid w:val="00CE1B72"/>
    <w:rsid w:val="00D00B07"/>
    <w:rsid w:val="00D0567C"/>
    <w:rsid w:val="00D62754"/>
    <w:rsid w:val="00DA2C4A"/>
    <w:rsid w:val="00DA422A"/>
    <w:rsid w:val="00DA6062"/>
    <w:rsid w:val="00DB700C"/>
    <w:rsid w:val="00DC2AF2"/>
    <w:rsid w:val="00DE24D0"/>
    <w:rsid w:val="00E40FD6"/>
    <w:rsid w:val="00E544EF"/>
    <w:rsid w:val="00E6491B"/>
    <w:rsid w:val="00E825D9"/>
    <w:rsid w:val="00E92499"/>
    <w:rsid w:val="00EA1D28"/>
    <w:rsid w:val="00EC57E7"/>
    <w:rsid w:val="00EC6A98"/>
    <w:rsid w:val="00EE67EE"/>
    <w:rsid w:val="00F02396"/>
    <w:rsid w:val="00F05707"/>
    <w:rsid w:val="00F102BC"/>
    <w:rsid w:val="00F10325"/>
    <w:rsid w:val="00F1599B"/>
    <w:rsid w:val="00F34943"/>
    <w:rsid w:val="00F5525F"/>
    <w:rsid w:val="00F55957"/>
    <w:rsid w:val="00F62E76"/>
    <w:rsid w:val="00F65A73"/>
    <w:rsid w:val="00FA13B6"/>
    <w:rsid w:val="00FF6A2E"/>
    <w:rsid w:val="0B2D4A02"/>
    <w:rsid w:val="14634856"/>
    <w:rsid w:val="173A05CD"/>
    <w:rsid w:val="19D3539D"/>
    <w:rsid w:val="1E6F3165"/>
    <w:rsid w:val="29983AA5"/>
    <w:rsid w:val="29F20788"/>
    <w:rsid w:val="39051D8C"/>
    <w:rsid w:val="3A9C19DD"/>
    <w:rsid w:val="4BAF3798"/>
    <w:rsid w:val="4C465506"/>
    <w:rsid w:val="614A3944"/>
    <w:rsid w:val="697C383E"/>
    <w:rsid w:val="6DEB5878"/>
    <w:rsid w:val="75607A98"/>
    <w:rsid w:val="758E1852"/>
    <w:rsid w:val="76666F46"/>
    <w:rsid w:val="76882945"/>
    <w:rsid w:val="7AB802CE"/>
    <w:rsid w:val="7F0E03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E4D4370-45CA-4E8F-84A6-E32A0284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仿宋_GB2312" w:hAnsi="Tahoma"/>
      <w:sz w:val="22"/>
      <w:szCs w:val="22"/>
    </w:rPr>
  </w:style>
  <w:style w:type="paragraph" w:styleId="1">
    <w:name w:val="heading 1"/>
    <w:basedOn w:val="a"/>
    <w:next w:val="a"/>
    <w:link w:val="1Char"/>
    <w:uiPriority w:val="9"/>
    <w:qFormat/>
    <w:pPr>
      <w:keepNext/>
      <w:keepLines/>
      <w:spacing w:before="340" w:after="330"/>
      <w:ind w:leftChars="100" w:left="1100" w:rightChars="100" w:right="100"/>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hAnsiTheme="majorHAnsi" w:cstheme="majorBidi"/>
      <w:b/>
      <w:bCs/>
      <w:sz w:val="28"/>
      <w:szCs w:val="32"/>
    </w:rPr>
  </w:style>
  <w:style w:type="paragraph" w:styleId="3">
    <w:name w:val="heading 3"/>
    <w:basedOn w:val="a"/>
    <w:next w:val="a"/>
    <w:link w:val="3Char"/>
    <w:uiPriority w:val="9"/>
    <w:unhideWhenUsed/>
    <w:qFormat/>
    <w:pPr>
      <w:keepNext/>
      <w:keepLines/>
      <w:spacing w:before="260" w:after="26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qFormat/>
  </w:style>
  <w:style w:type="character" w:styleId="a9">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Tahoma" w:eastAsia="仿宋_GB2312" w:hAnsi="Tahoma"/>
      <w:b/>
      <w:bCs/>
      <w:kern w:val="44"/>
      <w:sz w:val="32"/>
      <w:szCs w:val="44"/>
    </w:rPr>
  </w:style>
  <w:style w:type="character" w:customStyle="1" w:styleId="2Char">
    <w:name w:val="标题 2 Char"/>
    <w:basedOn w:val="a0"/>
    <w:link w:val="2"/>
    <w:uiPriority w:val="9"/>
    <w:qFormat/>
    <w:rPr>
      <w:rFonts w:asciiTheme="majorHAnsi" w:eastAsia="仿宋_GB2312" w:hAnsiTheme="majorHAnsi" w:cstheme="majorBidi"/>
      <w:b/>
      <w:bCs/>
      <w:kern w:val="0"/>
      <w:sz w:val="28"/>
      <w:szCs w:val="32"/>
    </w:rPr>
  </w:style>
  <w:style w:type="character" w:customStyle="1" w:styleId="3Char">
    <w:name w:val="标题 3 Char"/>
    <w:basedOn w:val="a0"/>
    <w:link w:val="3"/>
    <w:uiPriority w:val="9"/>
    <w:qFormat/>
    <w:rPr>
      <w:rFonts w:ascii="Tahoma" w:eastAsia="仿宋_GB2312" w:hAnsi="Tahoma"/>
      <w:b/>
      <w:bCs/>
      <w:kern w:val="0"/>
      <w:sz w:val="28"/>
      <w:szCs w:val="32"/>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rFonts w:ascii="Tahoma" w:eastAsia="仿宋_GB2312" w:hAnsi="Tahoma"/>
      <w:kern w:val="0"/>
      <w:sz w:val="18"/>
      <w:szCs w:val="18"/>
    </w:rPr>
  </w:style>
  <w:style w:type="character" w:customStyle="1" w:styleId="Char1">
    <w:name w:val="页脚 Char"/>
    <w:basedOn w:val="a0"/>
    <w:link w:val="a5"/>
    <w:uiPriority w:val="99"/>
    <w:qFormat/>
    <w:rPr>
      <w:rFonts w:ascii="Tahoma" w:eastAsia="仿宋_GB2312" w:hAnsi="Tahoma"/>
      <w:kern w:val="0"/>
      <w:sz w:val="18"/>
      <w:szCs w:val="18"/>
    </w:rPr>
  </w:style>
  <w:style w:type="character" w:customStyle="1" w:styleId="Char">
    <w:name w:val="批注文字 Char"/>
    <w:basedOn w:val="a0"/>
    <w:link w:val="a3"/>
    <w:uiPriority w:val="99"/>
    <w:semiHidden/>
    <w:qFormat/>
    <w:rPr>
      <w:rFonts w:ascii="Tahoma" w:eastAsia="仿宋_GB2312" w:hAnsi="Tahoma"/>
      <w:kern w:val="0"/>
      <w:sz w:val="22"/>
    </w:rPr>
  </w:style>
  <w:style w:type="character" w:customStyle="1" w:styleId="Char3">
    <w:name w:val="批注主题 Char"/>
    <w:basedOn w:val="Char"/>
    <w:link w:val="a7"/>
    <w:uiPriority w:val="99"/>
    <w:semiHidden/>
    <w:qFormat/>
    <w:rPr>
      <w:rFonts w:ascii="Tahoma" w:eastAsia="仿宋_GB2312" w:hAnsi="Tahoma"/>
      <w:b/>
      <w:bCs/>
      <w:kern w:val="0"/>
      <w:sz w:val="22"/>
    </w:rPr>
  </w:style>
  <w:style w:type="character" w:customStyle="1" w:styleId="Char0">
    <w:name w:val="批注框文本 Char"/>
    <w:basedOn w:val="a0"/>
    <w:link w:val="a4"/>
    <w:uiPriority w:val="99"/>
    <w:semiHidden/>
    <w:qFormat/>
    <w:rPr>
      <w:rFonts w:ascii="Tahoma" w:eastAsia="仿宋_GB2312" w:hAnsi="Tahoma"/>
      <w:kern w:val="0"/>
      <w:sz w:val="18"/>
      <w:szCs w:val="18"/>
    </w:rPr>
  </w:style>
  <w:style w:type="paragraph" w:customStyle="1" w:styleId="ab">
    <w:name w:val="封面标准名称"/>
    <w:unhideWhenUsed/>
    <w:qFormat/>
    <w:pPr>
      <w:widowControl w:val="0"/>
      <w:spacing w:line="680" w:lineRule="exact"/>
      <w:jc w:val="center"/>
      <w:textAlignment w:val="center"/>
    </w:pPr>
    <w:rPr>
      <w:rFonts w:ascii="黑体" w:eastAsia="黑体" w:hAnsi="Times New Roman" w:cs="Times New Roman" w:hint="eastAsia"/>
      <w:sz w:val="52"/>
    </w:rPr>
  </w:style>
  <w:style w:type="paragraph" w:customStyle="1" w:styleId="ac">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d">
    <w:name w:val="标准书脚_奇数页"/>
    <w:qFormat/>
    <w:pPr>
      <w:spacing w:before="120"/>
      <w:ind w:right="198"/>
      <w:jc w:val="right"/>
    </w:pPr>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缪香香</cp:lastModifiedBy>
  <cp:revision>3</cp:revision>
  <cp:lastPrinted>2019-09-09T07:56:00Z</cp:lastPrinted>
  <dcterms:created xsi:type="dcterms:W3CDTF">2020-10-15T06:36:00Z</dcterms:created>
  <dcterms:modified xsi:type="dcterms:W3CDTF">2021-02-24T06:11:00Z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