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700" w:lineRule="exact"/>
        <w:jc w:val="center"/>
        <w:rPr>
          <w:rFonts w:ascii="方正小标宋简体" w:hAnsi="Tahoma" w:eastAsia="方正小标宋简体" w:cs="Tahoma"/>
          <w:color w:val="000000" w:themeColor="text1"/>
          <w:kern w:val="0"/>
          <w:sz w:val="44"/>
          <w:szCs w:val="44"/>
          <w:shd w:val="clear" w:color="auto" w:fill="FFFFFF"/>
        </w:rPr>
      </w:pPr>
      <w:r>
        <w:rPr>
          <w:rFonts w:hint="eastAsia" w:ascii="方正小标宋简体" w:hAnsi="Tahoma" w:eastAsia="方正小标宋简体" w:cs="Tahoma"/>
          <w:color w:val="000000" w:themeColor="text1"/>
          <w:kern w:val="0"/>
          <w:sz w:val="44"/>
          <w:szCs w:val="44"/>
          <w:shd w:val="clear" w:color="auto" w:fill="FFFFFF"/>
        </w:rPr>
        <w:t>2018年度第一批常州市金融发展（企业</w:t>
      </w:r>
    </w:p>
    <w:p>
      <w:pPr>
        <w:widowControl/>
        <w:spacing w:line="700" w:lineRule="exact"/>
        <w:jc w:val="center"/>
        <w:rPr>
          <w:rFonts w:ascii="方正小标宋简体" w:hAnsi="Tahoma" w:eastAsia="方正小标宋简体" w:cs="Tahoma"/>
          <w:color w:val="000000" w:themeColor="text1"/>
          <w:kern w:val="0"/>
          <w:sz w:val="44"/>
          <w:szCs w:val="44"/>
          <w:shd w:val="clear" w:color="auto" w:fill="FFFFFF"/>
        </w:rPr>
      </w:pPr>
      <w:r>
        <w:rPr>
          <w:rFonts w:hint="eastAsia" w:ascii="方正小标宋简体" w:hAnsi="Tahoma" w:eastAsia="方正小标宋简体" w:cs="Tahoma"/>
          <w:color w:val="000000" w:themeColor="text1"/>
          <w:kern w:val="0"/>
          <w:sz w:val="44"/>
          <w:szCs w:val="44"/>
          <w:shd w:val="clear" w:color="auto" w:fill="FFFFFF"/>
        </w:rPr>
        <w:t>股改上市）专项资金拟安排公示</w:t>
      </w:r>
    </w:p>
    <w:p>
      <w:pPr>
        <w:widowControl/>
        <w:spacing w:line="560" w:lineRule="exact"/>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根据</w:t>
      </w:r>
      <w:bookmarkStart w:id="0" w:name="_GoBack"/>
      <w:bookmarkEnd w:id="0"/>
      <w:r>
        <w:rPr>
          <w:rFonts w:hint="eastAsia" w:ascii="Times New Roman" w:hAnsi="Times New Roman" w:eastAsia="仿宋_GB2312" w:cs="Times New Roman"/>
          <w:sz w:val="32"/>
          <w:szCs w:val="32"/>
          <w:shd w:val="clear" w:color="auto" w:fill="FFFFFF"/>
        </w:rPr>
        <w:t>《常州市财政局 常州市地方金融监督管理局关于印发常州市金融业发展专项资金管理办法的通知》（常财规〔2019〕1号）以及《关于组织申报2018年度常州市金融发展（企业股改上市）专项资金的通知》（常金监发〔2019〕21号）的</w:t>
      </w:r>
      <w:r>
        <w:rPr>
          <w:rFonts w:ascii="Times New Roman" w:hAnsi="Times New Roman" w:eastAsia="仿宋_GB2312" w:cs="Times New Roman"/>
          <w:sz w:val="32"/>
          <w:szCs w:val="32"/>
          <w:shd w:val="clear" w:color="auto" w:fill="FFFFFF"/>
        </w:rPr>
        <w:t>文件要求，经企业申报，各辖区金融主管部门、财政部门初审，</w:t>
      </w:r>
      <w:r>
        <w:rPr>
          <w:rFonts w:ascii="Times New Roman" w:hAnsi="Times New Roman" w:eastAsia="仿宋_GB2312" w:cs="Times New Roman"/>
          <w:sz w:val="32"/>
          <w:szCs w:val="32"/>
        </w:rPr>
        <w:t>并经第三方机构审查、市金融主管部门审核、市财政部门形式审查，</w:t>
      </w:r>
      <w:r>
        <w:rPr>
          <w:rFonts w:ascii="Times New Roman" w:hAnsi="Times New Roman" w:eastAsia="仿宋_GB2312" w:cs="Times New Roman"/>
          <w:sz w:val="32"/>
          <w:szCs w:val="32"/>
          <w:shd w:val="clear" w:color="auto" w:fill="FFFFFF"/>
        </w:rPr>
        <w:t>现将拟安排项目名单予以公示。公示期为：2019年11月11日至201</w:t>
      </w:r>
      <w:r>
        <w:rPr>
          <w:rFonts w:hint="eastAsia" w:ascii="Times New Roman" w:hAnsi="Times New Roman" w:eastAsia="仿宋_GB2312" w:cs="Times New Roman"/>
          <w:sz w:val="32"/>
          <w:szCs w:val="32"/>
          <w:shd w:val="clear" w:color="auto" w:fill="FFFFFF"/>
        </w:rPr>
        <w:t>9</w:t>
      </w:r>
      <w:r>
        <w:rPr>
          <w:rFonts w:ascii="Times New Roman" w:hAnsi="Times New Roman" w:eastAsia="仿宋_GB2312" w:cs="Times New Roman"/>
          <w:sz w:val="32"/>
          <w:szCs w:val="32"/>
          <w:shd w:val="clear" w:color="auto" w:fill="FFFFFF"/>
        </w:rPr>
        <w:t>年11月17日。</w:t>
      </w:r>
    </w:p>
    <w:p>
      <w:pPr>
        <w:widowControl/>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公示期间如对项目有异议的，请向市财政局金融处、市地方金融监督管理局资本市场处反映。</w:t>
      </w:r>
    </w:p>
    <w:p>
      <w:pPr>
        <w:widowControl/>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联系人：市财政局金融处邵惠全，电话：85681729；市地方金融监督管理局资本市场处强沁芝，电话：85686686。</w:t>
      </w:r>
    </w:p>
    <w:p>
      <w:pPr>
        <w:widowControl/>
        <w:spacing w:line="560" w:lineRule="exact"/>
        <w:ind w:firstLine="640" w:firstLineChars="200"/>
        <w:rPr>
          <w:rFonts w:ascii="Times New Roman" w:hAnsi="Times New Roman" w:eastAsia="仿宋_GB2312" w:cs="Times New Roman"/>
          <w:sz w:val="32"/>
          <w:szCs w:val="32"/>
          <w:shd w:val="clear" w:color="auto" w:fill="FFFFFF"/>
        </w:rPr>
      </w:pPr>
    </w:p>
    <w:p>
      <w:pPr>
        <w:widowControl/>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附件：1. 2018年度第一批常州市企业股改上市奖励资金</w:t>
      </w:r>
    </w:p>
    <w:p>
      <w:pPr>
        <w:widowControl/>
        <w:spacing w:line="560" w:lineRule="exact"/>
        <w:ind w:firstLine="1760" w:firstLineChars="550"/>
        <w:rPr>
          <w:rFonts w:ascii="方正小标宋简体" w:hAnsi="Tahoma" w:eastAsia="方正小标宋简体" w:cs="Tahoma"/>
          <w:color w:val="000000" w:themeColor="text1"/>
          <w:sz w:val="44"/>
          <w:szCs w:val="44"/>
        </w:rPr>
      </w:pPr>
      <w:r>
        <w:rPr>
          <w:rFonts w:ascii="Times New Roman" w:hAnsi="Times New Roman" w:eastAsia="仿宋_GB2312" w:cs="Times New Roman"/>
          <w:sz w:val="32"/>
          <w:szCs w:val="32"/>
          <w:shd w:val="clear" w:color="auto" w:fill="FFFFFF"/>
        </w:rPr>
        <w:t>拟安排项目名单</w:t>
      </w:r>
    </w:p>
    <w:p>
      <w:pPr>
        <w:pStyle w:val="4"/>
        <w:widowControl/>
        <w:autoSpaceDE w:val="0"/>
        <w:spacing w:line="560" w:lineRule="exact"/>
        <w:ind w:left="1790" w:leftChars="700" w:hanging="320" w:hangingChars="1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 2018年度常州市企业股改上市工作考核奖励资</w:t>
      </w:r>
    </w:p>
    <w:p>
      <w:pPr>
        <w:pStyle w:val="4"/>
        <w:widowControl/>
        <w:autoSpaceDE w:val="0"/>
        <w:spacing w:line="560" w:lineRule="exact"/>
        <w:ind w:left="1680" w:leftChars="800" w:firstLine="160" w:firstLineChars="5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金拟安排项目名单</w:t>
      </w:r>
    </w:p>
    <w:p>
      <w:pPr>
        <w:widowControl/>
        <w:adjustRightInd w:val="0"/>
        <w:snapToGrid w:val="0"/>
        <w:spacing w:line="560" w:lineRule="exact"/>
        <w:ind w:firstLine="624"/>
        <w:jc w:val="right"/>
        <w:rPr>
          <w:rFonts w:ascii="Times New Roman" w:hAnsi="Times New Roman" w:eastAsia="仿宋_GB2312" w:cs="Times New Roman"/>
          <w:spacing w:val="-4"/>
          <w:kern w:val="0"/>
          <w:sz w:val="32"/>
          <w:szCs w:val="32"/>
        </w:rPr>
      </w:pPr>
    </w:p>
    <w:p>
      <w:pPr>
        <w:widowControl/>
        <w:adjustRightInd w:val="0"/>
        <w:snapToGrid w:val="0"/>
        <w:spacing w:line="560" w:lineRule="exact"/>
        <w:ind w:firstLine="624"/>
        <w:jc w:val="right"/>
        <w:rPr>
          <w:rFonts w:ascii="Times New Roman" w:hAnsi="Times New Roman" w:eastAsia="仿宋_GB2312" w:cs="Times New Roman"/>
          <w:spacing w:val="-4"/>
          <w:kern w:val="0"/>
          <w:sz w:val="32"/>
          <w:szCs w:val="32"/>
        </w:rPr>
      </w:pPr>
    </w:p>
    <w:p>
      <w:pPr>
        <w:widowControl/>
        <w:adjustRightInd w:val="0"/>
        <w:snapToGrid w:val="0"/>
        <w:spacing w:line="560" w:lineRule="exact"/>
        <w:ind w:firstLine="624"/>
        <w:jc w:val="right"/>
        <w:rPr>
          <w:rFonts w:ascii="Times New Roman" w:hAnsi="Times New Roman" w:eastAsia="仿宋_GB2312" w:cs="Times New Roman"/>
          <w:spacing w:val="-4"/>
          <w:kern w:val="0"/>
          <w:sz w:val="32"/>
          <w:szCs w:val="32"/>
        </w:rPr>
      </w:pPr>
    </w:p>
    <w:p>
      <w:pPr>
        <w:widowControl/>
        <w:adjustRightInd w:val="0"/>
        <w:snapToGrid w:val="0"/>
        <w:spacing w:line="560" w:lineRule="exact"/>
        <w:ind w:right="624" w:firstLine="624"/>
        <w:rPr>
          <w:rFonts w:ascii="Times New Roman" w:hAnsi="Times New Roman" w:eastAsia="仿宋_GB2312" w:cs="Times New Roman"/>
          <w:spacing w:val="-4"/>
          <w:kern w:val="0"/>
          <w:sz w:val="32"/>
          <w:szCs w:val="32"/>
        </w:rPr>
      </w:pPr>
      <w:r>
        <w:rPr>
          <w:rFonts w:ascii="Times New Roman" w:hAnsi="Times New Roman" w:eastAsia="仿宋_GB2312" w:cs="Times New Roman"/>
          <w:spacing w:val="-4"/>
          <w:kern w:val="0"/>
          <w:sz w:val="32"/>
          <w:szCs w:val="32"/>
        </w:rPr>
        <w:t>常州市财政局</w:t>
      </w:r>
      <w:r>
        <w:rPr>
          <w:rFonts w:ascii="Times New Roman" w:hAnsi="Times New Roman" w:eastAsia="仿宋_GB2312" w:cs="Times New Roman"/>
          <w:kern w:val="0"/>
          <w:sz w:val="32"/>
          <w:szCs w:val="32"/>
        </w:rPr>
        <w:t xml:space="preserve">      </w:t>
      </w:r>
      <w:r>
        <w:rPr>
          <w:rFonts w:ascii="Times New Roman" w:hAnsi="Times New Roman" w:eastAsia="仿宋_GB2312" w:cs="Times New Roman"/>
          <w:spacing w:val="-4"/>
          <w:kern w:val="0"/>
          <w:sz w:val="32"/>
          <w:szCs w:val="32"/>
        </w:rPr>
        <w:t xml:space="preserve"> 常州市地方金融监督管理局</w:t>
      </w:r>
    </w:p>
    <w:p>
      <w:pPr>
        <w:pStyle w:val="4"/>
        <w:widowControl/>
        <w:autoSpaceDE w:val="0"/>
        <w:spacing w:line="560" w:lineRule="exact"/>
        <w:ind w:firstLine="4160" w:firstLineChars="1300"/>
        <w:jc w:val="both"/>
        <w:rPr>
          <w:rFonts w:ascii="Times New Roman" w:hAnsi="Times New Roman" w:eastAsia="仿宋_GB2312"/>
          <w:sz w:val="32"/>
          <w:szCs w:val="32"/>
        </w:rPr>
      </w:pPr>
      <w:r>
        <w:rPr>
          <w:rFonts w:ascii="Times New Roman" w:hAnsi="Times New Roman" w:eastAsia="仿宋_GB2312"/>
          <w:sz w:val="32"/>
          <w:szCs w:val="32"/>
        </w:rPr>
        <w:t>2019年11月11日</w:t>
      </w:r>
    </w:p>
    <w:p>
      <w:pPr>
        <w:pStyle w:val="4"/>
        <w:widowControl/>
        <w:autoSpaceDE w:val="0"/>
        <w:spacing w:line="700" w:lineRule="exact"/>
        <w:rPr>
          <w:rFonts w:ascii="黑体" w:hAnsi="黑体" w:eastAsia="黑体" w:cs="方正小标宋简体"/>
          <w:sz w:val="28"/>
          <w:szCs w:val="28"/>
        </w:rPr>
      </w:pPr>
      <w:r>
        <w:rPr>
          <w:rFonts w:hint="eastAsia" w:ascii="黑体" w:hAnsi="黑体" w:eastAsia="黑体" w:cs="方正小标宋简体"/>
          <w:sz w:val="28"/>
          <w:szCs w:val="28"/>
        </w:rPr>
        <w:t>附件</w:t>
      </w:r>
      <w:r>
        <w:rPr>
          <w:rFonts w:ascii="Times New Roman" w:hAnsi="Times New Roman" w:eastAsia="黑体"/>
          <w:sz w:val="28"/>
          <w:szCs w:val="28"/>
        </w:rPr>
        <w:t>1</w:t>
      </w:r>
    </w:p>
    <w:p>
      <w:pPr>
        <w:pStyle w:val="4"/>
        <w:widowControl/>
        <w:autoSpaceDE w:val="0"/>
        <w:spacing w:line="700"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2018年度第一批常州市企业股改上市</w:t>
      </w:r>
    </w:p>
    <w:p>
      <w:pPr>
        <w:pStyle w:val="4"/>
        <w:widowControl/>
        <w:autoSpaceDE w:val="0"/>
        <w:spacing w:line="700" w:lineRule="exact"/>
        <w:jc w:val="center"/>
        <w:rPr>
          <w:rFonts w:ascii="方正小标宋简体" w:hAnsi="宋体" w:eastAsia="方正小标宋简体" w:cs="宋体"/>
          <w:sz w:val="44"/>
          <w:szCs w:val="44"/>
          <w:shd w:val="clear" w:color="auto" w:fill="FFFFFF"/>
        </w:rPr>
      </w:pPr>
      <w:r>
        <w:rPr>
          <w:rFonts w:hint="eastAsia" w:ascii="方正小标宋简体" w:hAnsi="宋体" w:eastAsia="方正小标宋简体" w:cs="方正小标宋简体"/>
          <w:sz w:val="44"/>
          <w:szCs w:val="44"/>
        </w:rPr>
        <w:t>奖励资金</w:t>
      </w:r>
      <w:r>
        <w:rPr>
          <w:rFonts w:hint="eastAsia" w:ascii="方正小标宋简体" w:eastAsia="方正小标宋简体" w:hAnsiTheme="minorEastAsia" w:cstheme="minorEastAsia"/>
          <w:sz w:val="44"/>
          <w:szCs w:val="44"/>
          <w:shd w:val="clear" w:color="auto" w:fill="FFFFFF"/>
        </w:rPr>
        <w:t>拟安排项目名单</w:t>
      </w:r>
    </w:p>
    <w:p>
      <w:pPr>
        <w:ind w:left="1680" w:leftChars="800"/>
        <w:rPr>
          <w:rFonts w:ascii="仿宋_GB2312" w:eastAsia="仿宋_GB2312"/>
          <w:sz w:val="32"/>
          <w:szCs w:val="32"/>
        </w:rPr>
      </w:pPr>
    </w:p>
    <w:p>
      <w:pPr>
        <w:ind w:left="1680" w:leftChars="800"/>
        <w:rPr>
          <w:rFonts w:ascii="仿宋_GB2312" w:eastAsia="仿宋_GB2312"/>
          <w:sz w:val="32"/>
          <w:szCs w:val="32"/>
        </w:rPr>
      </w:pPr>
      <w:r>
        <w:rPr>
          <w:rFonts w:hint="eastAsia" w:ascii="仿宋_GB2312" w:eastAsia="仿宋_GB2312"/>
          <w:sz w:val="32"/>
          <w:szCs w:val="32"/>
        </w:rPr>
        <w:t>江苏永成汽车零部件股份有限公司</w:t>
      </w:r>
    </w:p>
    <w:p>
      <w:pPr>
        <w:ind w:left="1680" w:leftChars="800"/>
        <w:rPr>
          <w:rFonts w:ascii="仿宋_GB2312" w:eastAsia="仿宋_GB2312"/>
          <w:sz w:val="32"/>
          <w:szCs w:val="32"/>
        </w:rPr>
      </w:pPr>
      <w:r>
        <w:rPr>
          <w:rFonts w:hint="eastAsia" w:ascii="仿宋_GB2312" w:eastAsia="仿宋_GB2312"/>
          <w:sz w:val="32"/>
          <w:szCs w:val="32"/>
        </w:rPr>
        <w:t>天合光能股份有限公司</w:t>
      </w:r>
    </w:p>
    <w:p>
      <w:pPr>
        <w:ind w:left="1680" w:leftChars="800"/>
        <w:rPr>
          <w:rFonts w:ascii="仿宋_GB2312" w:eastAsia="仿宋_GB2312"/>
          <w:sz w:val="32"/>
          <w:szCs w:val="32"/>
        </w:rPr>
      </w:pPr>
      <w:r>
        <w:rPr>
          <w:rFonts w:hint="eastAsia" w:ascii="仿宋_GB2312" w:eastAsia="仿宋_GB2312"/>
          <w:sz w:val="32"/>
          <w:szCs w:val="32"/>
        </w:rPr>
        <w:t>常州澳弘电子股份有限公司</w:t>
      </w:r>
    </w:p>
    <w:p>
      <w:pPr>
        <w:ind w:left="1680" w:leftChars="800"/>
        <w:rPr>
          <w:rFonts w:ascii="仿宋_GB2312" w:eastAsia="仿宋_GB2312"/>
          <w:sz w:val="32"/>
          <w:szCs w:val="32"/>
        </w:rPr>
      </w:pPr>
      <w:r>
        <w:rPr>
          <w:rFonts w:hint="eastAsia" w:ascii="仿宋_GB2312" w:eastAsia="仿宋_GB2312"/>
          <w:sz w:val="32"/>
          <w:szCs w:val="32"/>
        </w:rPr>
        <w:t>常州市顺祥新材料科技股份有限公司</w:t>
      </w:r>
    </w:p>
    <w:p>
      <w:pPr>
        <w:ind w:left="1680" w:leftChars="800"/>
        <w:rPr>
          <w:rFonts w:ascii="仿宋_GB2312" w:eastAsia="仿宋_GB2312"/>
          <w:sz w:val="32"/>
          <w:szCs w:val="32"/>
        </w:rPr>
      </w:pPr>
      <w:r>
        <w:rPr>
          <w:rFonts w:hint="eastAsia" w:ascii="仿宋_GB2312" w:eastAsia="仿宋_GB2312"/>
          <w:sz w:val="32"/>
          <w:szCs w:val="32"/>
        </w:rPr>
        <w:t>常州汉森机械股份有限公司</w:t>
      </w:r>
    </w:p>
    <w:p>
      <w:pPr>
        <w:ind w:left="1680" w:leftChars="800"/>
        <w:rPr>
          <w:rFonts w:ascii="仿宋_GB2312" w:eastAsia="仿宋_GB2312"/>
          <w:sz w:val="32"/>
          <w:szCs w:val="32"/>
        </w:rPr>
      </w:pPr>
      <w:r>
        <w:rPr>
          <w:rFonts w:hint="eastAsia" w:ascii="仿宋_GB2312" w:eastAsia="仿宋_GB2312"/>
          <w:sz w:val="32"/>
          <w:szCs w:val="32"/>
        </w:rPr>
        <w:t>中简科技股份有限公司</w:t>
      </w:r>
    </w:p>
    <w:p>
      <w:pPr>
        <w:ind w:left="1680" w:leftChars="800"/>
        <w:rPr>
          <w:rFonts w:ascii="仿宋_GB2312" w:eastAsia="仿宋_GB2312"/>
          <w:sz w:val="32"/>
          <w:szCs w:val="32"/>
        </w:rPr>
      </w:pPr>
      <w:r>
        <w:rPr>
          <w:rFonts w:hint="eastAsia" w:ascii="仿宋_GB2312" w:eastAsia="仿宋_GB2312"/>
          <w:sz w:val="32"/>
          <w:szCs w:val="32"/>
        </w:rPr>
        <w:t>江苏鑫亿软件股份有限公司</w:t>
      </w:r>
    </w:p>
    <w:p>
      <w:pPr>
        <w:ind w:left="1680" w:leftChars="800"/>
        <w:rPr>
          <w:rFonts w:ascii="仿宋_GB2312" w:eastAsia="仿宋_GB2312"/>
          <w:sz w:val="32"/>
          <w:szCs w:val="32"/>
        </w:rPr>
      </w:pPr>
      <w:r>
        <w:rPr>
          <w:rFonts w:hint="eastAsia" w:ascii="仿宋_GB2312" w:eastAsia="仿宋_GB2312"/>
          <w:sz w:val="32"/>
          <w:szCs w:val="32"/>
        </w:rPr>
        <w:t>常州贺斯特科技股份有限公司</w:t>
      </w:r>
    </w:p>
    <w:p>
      <w:pPr>
        <w:ind w:left="1680" w:leftChars="800"/>
        <w:rPr>
          <w:rFonts w:ascii="仿宋_GB2312" w:eastAsia="仿宋_GB2312"/>
          <w:sz w:val="32"/>
          <w:szCs w:val="32"/>
        </w:rPr>
      </w:pPr>
      <w:r>
        <w:rPr>
          <w:rFonts w:hint="eastAsia" w:ascii="仿宋_GB2312" w:eastAsia="仿宋_GB2312"/>
          <w:sz w:val="32"/>
          <w:szCs w:val="32"/>
        </w:rPr>
        <w:t>江苏京东农业股份有限公司</w:t>
      </w:r>
    </w:p>
    <w:p>
      <w:pPr>
        <w:ind w:left="1680" w:leftChars="800"/>
        <w:rPr>
          <w:rFonts w:ascii="仿宋_GB2312" w:eastAsia="仿宋_GB2312"/>
          <w:sz w:val="32"/>
          <w:szCs w:val="32"/>
        </w:rPr>
      </w:pPr>
      <w:r>
        <w:rPr>
          <w:rFonts w:hint="eastAsia" w:ascii="仿宋_GB2312" w:eastAsia="仿宋_GB2312"/>
          <w:sz w:val="32"/>
          <w:szCs w:val="32"/>
        </w:rPr>
        <w:t>江苏朗恩斯科技股份有限公司</w:t>
      </w:r>
    </w:p>
    <w:p>
      <w:pPr>
        <w:ind w:left="1680" w:leftChars="800"/>
        <w:rPr>
          <w:rFonts w:ascii="仿宋_GB2312" w:eastAsia="仿宋_GB2312"/>
          <w:sz w:val="32"/>
          <w:szCs w:val="32"/>
        </w:rPr>
      </w:pPr>
      <w:r>
        <w:rPr>
          <w:rFonts w:hint="eastAsia" w:ascii="仿宋_GB2312" w:eastAsia="仿宋_GB2312"/>
          <w:sz w:val="32"/>
          <w:szCs w:val="32"/>
        </w:rPr>
        <w:t>江苏中盈高科智能信息股份有限公司</w:t>
      </w:r>
    </w:p>
    <w:p>
      <w:pPr>
        <w:ind w:left="1680" w:leftChars="800"/>
        <w:rPr>
          <w:rFonts w:ascii="仿宋_GB2312" w:eastAsia="仿宋_GB2312"/>
          <w:sz w:val="32"/>
          <w:szCs w:val="32"/>
        </w:rPr>
      </w:pPr>
      <w:r>
        <w:rPr>
          <w:rFonts w:hint="eastAsia" w:ascii="仿宋_GB2312" w:eastAsia="仿宋_GB2312"/>
          <w:sz w:val="32"/>
          <w:szCs w:val="32"/>
        </w:rPr>
        <w:t>江苏东星智慧医疗科技股份有限公司</w:t>
      </w:r>
    </w:p>
    <w:p>
      <w:pPr>
        <w:ind w:left="1680" w:leftChars="800"/>
        <w:rPr>
          <w:rFonts w:ascii="仿宋_GB2312" w:eastAsia="仿宋_GB2312"/>
          <w:sz w:val="32"/>
          <w:szCs w:val="32"/>
        </w:rPr>
      </w:pPr>
      <w:r>
        <w:rPr>
          <w:rFonts w:hint="eastAsia" w:ascii="仿宋_GB2312" w:eastAsia="仿宋_GB2312"/>
          <w:sz w:val="32"/>
          <w:szCs w:val="32"/>
        </w:rPr>
        <w:t>江苏坚力电子科技股份有限公司</w:t>
      </w:r>
    </w:p>
    <w:p>
      <w:pPr>
        <w:widowControl/>
        <w:jc w:val="left"/>
        <w:rPr>
          <w:rFonts w:ascii="仿宋_GB2312" w:eastAsia="仿宋_GB2312"/>
          <w:sz w:val="32"/>
          <w:szCs w:val="32"/>
        </w:rPr>
      </w:pPr>
      <w:r>
        <w:rPr>
          <w:rFonts w:ascii="仿宋_GB2312" w:eastAsia="仿宋_GB2312"/>
          <w:sz w:val="32"/>
          <w:szCs w:val="32"/>
        </w:rPr>
        <w:br w:type="page"/>
      </w:r>
    </w:p>
    <w:p>
      <w:pPr>
        <w:spacing w:line="700" w:lineRule="exact"/>
        <w:jc w:val="left"/>
        <w:rPr>
          <w:rFonts w:ascii="黑体" w:hAnsi="黑体" w:eastAsia="黑体" w:cstheme="minorEastAsia"/>
          <w:sz w:val="28"/>
          <w:szCs w:val="28"/>
          <w:shd w:val="clear" w:color="auto" w:fill="FFFFFF"/>
        </w:rPr>
      </w:pPr>
      <w:r>
        <w:rPr>
          <w:rFonts w:hint="eastAsia" w:ascii="黑体" w:hAnsi="黑体" w:eastAsia="黑体" w:cstheme="minorEastAsia"/>
          <w:sz w:val="28"/>
          <w:szCs w:val="28"/>
          <w:shd w:val="clear" w:color="auto" w:fill="FFFFFF"/>
        </w:rPr>
        <w:t>附件</w:t>
      </w:r>
      <w:r>
        <w:rPr>
          <w:rFonts w:ascii="Times New Roman" w:hAnsi="Times New Roman" w:eastAsia="黑体" w:cs="Times New Roman"/>
          <w:sz w:val="28"/>
          <w:szCs w:val="28"/>
          <w:shd w:val="clear" w:color="auto" w:fill="FFFFFF"/>
        </w:rPr>
        <w:t>2</w:t>
      </w:r>
    </w:p>
    <w:p>
      <w:pPr>
        <w:spacing w:line="700" w:lineRule="exact"/>
        <w:jc w:val="center"/>
        <w:rPr>
          <w:rFonts w:ascii="方正小标宋简体" w:eastAsia="方正小标宋简体" w:hAnsiTheme="minorEastAsia" w:cstheme="minorEastAsia"/>
          <w:sz w:val="44"/>
          <w:szCs w:val="44"/>
          <w:shd w:val="clear" w:color="auto" w:fill="FFFFFF"/>
        </w:rPr>
      </w:pPr>
      <w:r>
        <w:rPr>
          <w:rFonts w:hint="eastAsia" w:ascii="方正小标宋简体" w:eastAsia="方正小标宋简体" w:hAnsiTheme="minorEastAsia" w:cstheme="minorEastAsia"/>
          <w:sz w:val="44"/>
          <w:szCs w:val="44"/>
          <w:shd w:val="clear" w:color="auto" w:fill="FFFFFF"/>
        </w:rPr>
        <w:t>2018年度常州市企业股改上市工作考核</w:t>
      </w:r>
    </w:p>
    <w:p>
      <w:pPr>
        <w:spacing w:line="700" w:lineRule="exact"/>
        <w:jc w:val="center"/>
        <w:rPr>
          <w:rFonts w:ascii="方正小标宋简体" w:eastAsia="方正小标宋简体" w:hAnsiTheme="minorEastAsia" w:cstheme="minorEastAsia"/>
          <w:sz w:val="44"/>
          <w:szCs w:val="44"/>
          <w:shd w:val="clear" w:color="auto" w:fill="FFFFFF"/>
        </w:rPr>
      </w:pPr>
      <w:r>
        <w:rPr>
          <w:rFonts w:hint="eastAsia" w:ascii="方正小标宋简体" w:eastAsia="方正小标宋简体" w:hAnsiTheme="minorEastAsia" w:cstheme="minorEastAsia"/>
          <w:sz w:val="44"/>
          <w:szCs w:val="44"/>
          <w:shd w:val="clear" w:color="auto" w:fill="FFFFFF"/>
        </w:rPr>
        <w:t>奖励资金拟安排项目名单</w:t>
      </w: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r>
        <w:rPr>
          <w:rFonts w:hint="eastAsia" w:ascii="仿宋_GB2312" w:eastAsia="仿宋_GB2312"/>
          <w:sz w:val="32"/>
          <w:szCs w:val="32"/>
        </w:rPr>
        <w:t>武进区人民政府</w:t>
      </w:r>
    </w:p>
    <w:p>
      <w:pPr>
        <w:spacing w:line="560" w:lineRule="exact"/>
        <w:jc w:val="center"/>
        <w:rPr>
          <w:rFonts w:ascii="仿宋_GB2312" w:eastAsia="仿宋_GB2312"/>
          <w:sz w:val="32"/>
          <w:szCs w:val="32"/>
        </w:rPr>
      </w:pPr>
      <w:r>
        <w:rPr>
          <w:rFonts w:hint="eastAsia" w:ascii="仿宋_GB2312" w:eastAsia="仿宋_GB2312"/>
          <w:sz w:val="32"/>
          <w:szCs w:val="32"/>
        </w:rPr>
        <w:t>钟楼区人民政府</w:t>
      </w:r>
    </w:p>
    <w:p>
      <w:pPr>
        <w:spacing w:line="560" w:lineRule="exact"/>
        <w:jc w:val="center"/>
        <w:rPr>
          <w:rFonts w:ascii="仿宋_GB2312" w:eastAsia="仿宋_GB2312"/>
          <w:sz w:val="32"/>
          <w:szCs w:val="32"/>
        </w:rPr>
      </w:pPr>
      <w:r>
        <w:rPr>
          <w:rFonts w:hint="eastAsia" w:ascii="仿宋_GB2312" w:eastAsia="仿宋_GB2312"/>
          <w:sz w:val="32"/>
          <w:szCs w:val="32"/>
        </w:rPr>
        <w:t>天宁区人民政府</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2234988"/>
      <w:docPartObj>
        <w:docPartGallery w:val="AutoText"/>
      </w:docPartObj>
    </w:sdtPr>
    <w:sdtEndPr>
      <w:rPr>
        <w:rFonts w:ascii="Times New Roman" w:hAnsi="Times New Roman" w:cs="Times New Roman"/>
        <w:sz w:val="28"/>
        <w:szCs w:val="28"/>
      </w:rPr>
    </w:sdtEndPr>
    <w:sdtContent>
      <w:p>
        <w:pPr>
          <w:pStyle w:val="2"/>
          <w:wordWrap w:val="0"/>
          <w:jc w:val="right"/>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954439"/>
      <w:docPartObj>
        <w:docPartGallery w:val="AutoText"/>
      </w:docPartObj>
    </w:sdtPr>
    <w:sdtEndPr>
      <w:rPr>
        <w:rFonts w:ascii="Times New Roman" w:hAnsi="Times New Roman" w:cs="Times New Roman"/>
        <w:sz w:val="28"/>
        <w:szCs w:val="28"/>
      </w:rPr>
    </w:sdtEndPr>
    <w:sdtContent>
      <w:p>
        <w:pPr>
          <w:pStyle w:val="2"/>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40"/>
    <w:rsid w:val="00011995"/>
    <w:rsid w:val="00070941"/>
    <w:rsid w:val="00080541"/>
    <w:rsid w:val="0008707A"/>
    <w:rsid w:val="000C29C5"/>
    <w:rsid w:val="000C7DAB"/>
    <w:rsid w:val="00104E14"/>
    <w:rsid w:val="00107296"/>
    <w:rsid w:val="00191C5F"/>
    <w:rsid w:val="0022703B"/>
    <w:rsid w:val="00441271"/>
    <w:rsid w:val="00527BF7"/>
    <w:rsid w:val="00566683"/>
    <w:rsid w:val="005D0951"/>
    <w:rsid w:val="005D5373"/>
    <w:rsid w:val="00601509"/>
    <w:rsid w:val="006317BB"/>
    <w:rsid w:val="006521D7"/>
    <w:rsid w:val="00652E13"/>
    <w:rsid w:val="00675D64"/>
    <w:rsid w:val="00682877"/>
    <w:rsid w:val="006A7633"/>
    <w:rsid w:val="006B4E45"/>
    <w:rsid w:val="00736D71"/>
    <w:rsid w:val="00753FF4"/>
    <w:rsid w:val="00770BBB"/>
    <w:rsid w:val="00863233"/>
    <w:rsid w:val="00976454"/>
    <w:rsid w:val="009A3927"/>
    <w:rsid w:val="009B7FD4"/>
    <w:rsid w:val="00A259E7"/>
    <w:rsid w:val="00A50E24"/>
    <w:rsid w:val="00A73B57"/>
    <w:rsid w:val="00A756AA"/>
    <w:rsid w:val="00AC3440"/>
    <w:rsid w:val="00B00905"/>
    <w:rsid w:val="00B32F85"/>
    <w:rsid w:val="00BD0B77"/>
    <w:rsid w:val="00BF1824"/>
    <w:rsid w:val="00CE668D"/>
    <w:rsid w:val="00DB199D"/>
    <w:rsid w:val="00E904D9"/>
    <w:rsid w:val="00EC0E97"/>
    <w:rsid w:val="00F008F2"/>
    <w:rsid w:val="00F454D0"/>
    <w:rsid w:val="0EE8215E"/>
    <w:rsid w:val="13C5553C"/>
    <w:rsid w:val="148205C7"/>
    <w:rsid w:val="1CB81F52"/>
    <w:rsid w:val="201A1608"/>
    <w:rsid w:val="2CCD4D3B"/>
    <w:rsid w:val="2D725D08"/>
    <w:rsid w:val="2DD21BBD"/>
    <w:rsid w:val="329F3406"/>
    <w:rsid w:val="3D4E77F8"/>
    <w:rsid w:val="41230E15"/>
    <w:rsid w:val="463B0CAE"/>
    <w:rsid w:val="49665046"/>
    <w:rsid w:val="520A5628"/>
    <w:rsid w:val="60DE1907"/>
    <w:rsid w:val="61AC0DB7"/>
    <w:rsid w:val="690C6769"/>
    <w:rsid w:val="7759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qFormat/>
    <w:uiPriority w:val="99"/>
    <w:pPr>
      <w:tabs>
        <w:tab w:val="center" w:pos="4153"/>
        <w:tab w:val="right" w:pos="8306"/>
      </w:tabs>
      <w:snapToGrid w:val="0"/>
      <w:jc w:val="left"/>
    </w:pPr>
    <w:rPr>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7">
    <w:name w:val="FollowedHyperlink"/>
    <w:basedOn w:val="6"/>
    <w:qFormat/>
    <w:uiPriority w:val="0"/>
    <w:rPr>
      <w:color w:val="00000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000000"/>
      <w:u w:val="none"/>
    </w:rPr>
  </w:style>
  <w:style w:type="character" w:styleId="12">
    <w:name w:val="HTML Code"/>
    <w:basedOn w:val="6"/>
    <w:qFormat/>
    <w:uiPriority w:val="0"/>
    <w:rPr>
      <w:rFonts w:hint="default" w:ascii="Courier New" w:hAnsi="Courier New" w:eastAsia="Courier New" w:cs="Courier New"/>
      <w:sz w:val="20"/>
    </w:rPr>
  </w:style>
  <w:style w:type="character" w:styleId="13">
    <w:name w:val="HTML Cite"/>
    <w:basedOn w:val="6"/>
    <w:qFormat/>
    <w:uiPriority w:val="0"/>
  </w:style>
  <w:style w:type="character" w:styleId="14">
    <w:name w:val="HTML Keyboard"/>
    <w:basedOn w:val="6"/>
    <w:qFormat/>
    <w:uiPriority w:val="0"/>
    <w:rPr>
      <w:rFonts w:hint="default" w:ascii="Courier New" w:hAnsi="Courier New" w:eastAsia="Courier New" w:cs="Courier New"/>
      <w:sz w:val="20"/>
    </w:rPr>
  </w:style>
  <w:style w:type="character" w:styleId="15">
    <w:name w:val="HTML Sample"/>
    <w:basedOn w:val="6"/>
    <w:qFormat/>
    <w:uiPriority w:val="0"/>
    <w:rPr>
      <w:rFonts w:ascii="Courier New" w:hAnsi="Courier New" w:eastAsia="Courier New" w:cs="Courier New"/>
    </w:rPr>
  </w:style>
  <w:style w:type="character" w:customStyle="1" w:styleId="16">
    <w:name w:val="hui"/>
    <w:basedOn w:val="6"/>
    <w:qFormat/>
    <w:uiPriority w:val="0"/>
    <w:rPr>
      <w:color w:val="999999"/>
    </w:rPr>
  </w:style>
  <w:style w:type="character" w:customStyle="1" w:styleId="17">
    <w:name w:val="页眉 Char"/>
    <w:basedOn w:val="6"/>
    <w:link w:val="3"/>
    <w:qFormat/>
    <w:uiPriority w:val="0"/>
    <w:rPr>
      <w:rFonts w:asciiTheme="minorHAnsi" w:hAnsiTheme="minorHAnsi" w:eastAsiaTheme="minorEastAsia" w:cstheme="minorBidi"/>
      <w:kern w:val="2"/>
      <w:sz w:val="18"/>
      <w:szCs w:val="18"/>
    </w:rPr>
  </w:style>
  <w:style w:type="character" w:customStyle="1" w:styleId="1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111</Words>
  <Characters>637</Characters>
  <Lines>5</Lines>
  <Paragraphs>1</Paragraphs>
  <TotalTime>22</TotalTime>
  <ScaleCrop>false</ScaleCrop>
  <LinksUpToDate>false</LinksUpToDate>
  <CharactersWithSpaces>747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2019-11-11T02:15:00Z</dcterms:created>
  <dc:creator>Administrator</dc:creator>
  <cp:lastModifiedBy>A-Man</cp:lastModifiedBy>
  <cp:lastPrinted>2019-11-11T02:10:00Z</cp:lastPrinted>
  <dcterms:modified xsi:type="dcterms:W3CDTF">2019-11-11T03:19:19Z</dcterms:modified>
  <dc:title>2016年常州市市级融资担保专项资金拟安排公示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